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180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关于曲阜市综合文化中心项目水土保持方案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审批准予水行政许可决定书</w:t>
      </w:r>
      <w:bookmarkEnd w:id="0"/>
    </w:p>
    <w:p>
      <w:pPr>
        <w:pStyle w:val="9"/>
        <w:spacing w:before="0" w:beforeAutospacing="0" w:after="0" w:afterAutospacing="0" w:line="520" w:lineRule="exact"/>
        <w:rPr>
          <w:rFonts w:ascii="宋体" w:hAnsi="宋体"/>
          <w:kern w:val="2"/>
          <w:sz w:val="32"/>
          <w:szCs w:val="32"/>
        </w:rPr>
      </w:pPr>
    </w:p>
    <w:p>
      <w:pPr>
        <w:shd w:val="clear" w:color="auto" w:fill="FFFFFF"/>
        <w:spacing w:line="500" w:lineRule="exact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曲阜市恒基城市发展有限公司：</w:t>
      </w:r>
    </w:p>
    <w:p>
      <w:pPr>
        <w:shd w:val="clear" w:color="auto" w:fill="FFFFFF"/>
        <w:spacing w:line="500" w:lineRule="exact"/>
        <w:ind w:firstLine="643" w:firstLineChars="200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我局于20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12月4</w:t>
      </w:r>
      <w:r>
        <w:rPr>
          <w:rFonts w:eastAsia="方正仿宋简体"/>
          <w:b/>
          <w:bCs/>
          <w:kern w:val="10"/>
          <w:sz w:val="32"/>
          <w:szCs w:val="32"/>
        </w:rPr>
        <w:t>日受理你</w:t>
      </w:r>
      <w:r>
        <w:rPr>
          <w:rFonts w:hint="eastAsia" w:eastAsia="方正仿宋简体"/>
          <w:b/>
          <w:bCs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曲阜市综合文化中心项目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</w:t>
      </w:r>
      <w:r>
        <w:rPr>
          <w:rFonts w:eastAsia="方正仿宋简体"/>
          <w:b/>
          <w:bCs/>
          <w:kern w:val="10"/>
          <w:sz w:val="32"/>
          <w:szCs w:val="32"/>
        </w:rPr>
        <w:t>。经审查，该申请符合法定条件，根据《中华人民共和国行政许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曲阜市综合文化中心项目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eastAsia="方正仿宋简体"/>
          <w:b/>
          <w:bCs/>
          <w:kern w:val="10"/>
          <w:sz w:val="32"/>
          <w:szCs w:val="32"/>
        </w:rPr>
        <w:t>》（报批稿）及专家评审意见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shd w:val="clear" w:color="auto" w:fill="FFFFFF"/>
        <w:topLinePunct/>
        <w:spacing w:line="500" w:lineRule="exact"/>
        <w:ind w:firstLine="643" w:firstLineChars="2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（一）同意建设期水土流失防治责任范围为</w:t>
      </w:r>
      <w:r>
        <w:rPr>
          <w:rFonts w:hint="eastAsia" w:eastAsia="方正仿宋简体"/>
          <w:b/>
          <w:bCs/>
          <w:sz w:val="32"/>
          <w:szCs w:val="32"/>
        </w:rPr>
        <w:t>1.3552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spacing w:line="500" w:lineRule="exact"/>
        <w:ind w:right="-227" w:rightChars="-108"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</w:t>
      </w:r>
      <w:r>
        <w:rPr>
          <w:rFonts w:hint="eastAsia" w:eastAsia="方正仿宋简体"/>
          <w:b/>
          <w:bCs/>
          <w:sz w:val="32"/>
          <w:szCs w:val="32"/>
        </w:rPr>
        <w:t xml:space="preserve"> 基本</w:t>
      </w:r>
      <w:r>
        <w:rPr>
          <w:rFonts w:eastAsia="方正仿宋简体"/>
          <w:b/>
          <w:bCs/>
          <w:sz w:val="32"/>
          <w:szCs w:val="32"/>
        </w:rPr>
        <w:t>同意水土流失防治</w:t>
      </w:r>
      <w:r>
        <w:rPr>
          <w:rFonts w:hint="eastAsia" w:eastAsia="方正仿宋简体"/>
          <w:b/>
          <w:bCs/>
          <w:sz w:val="32"/>
          <w:szCs w:val="32"/>
        </w:rPr>
        <w:t>指标</w:t>
      </w:r>
      <w:r>
        <w:rPr>
          <w:rFonts w:eastAsia="方正仿宋简体"/>
          <w:b/>
          <w:bCs/>
          <w:sz w:val="32"/>
          <w:szCs w:val="32"/>
        </w:rPr>
        <w:t>为</w:t>
      </w:r>
      <w:r>
        <w:rPr>
          <w:rFonts w:hint="eastAsia" w:eastAsia="方正仿宋简体"/>
          <w:b/>
          <w:bCs/>
          <w:sz w:val="32"/>
          <w:szCs w:val="32"/>
        </w:rPr>
        <w:t xml:space="preserve">： 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土壤流失控制比1.0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渣土防护率9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、表土保护率</w:t>
      </w:r>
      <w:r>
        <w:rPr>
          <w:rFonts w:eastAsia="方正仿宋简体"/>
          <w:b/>
          <w:bCs/>
          <w:sz w:val="32"/>
          <w:szCs w:val="32"/>
        </w:rPr>
        <w:t>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林草植被恢复率9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林草覆盖率</w:t>
      </w:r>
      <w:r>
        <w:rPr>
          <w:rFonts w:hint="eastAsia" w:eastAsia="方正仿宋简体"/>
          <w:b/>
          <w:bCs/>
          <w:sz w:val="32"/>
          <w:szCs w:val="32"/>
        </w:rPr>
        <w:t>15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</w:rPr>
        <w:t>76.85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</w:rPr>
        <w:t>16262.4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spacing w:line="500" w:lineRule="exact"/>
        <w:ind w:firstLine="643" w:firstLineChars="2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三</w:t>
      </w:r>
      <w:r>
        <w:rPr>
          <w:rFonts w:eastAsia="方正仿宋简体"/>
          <w:b/>
          <w:bCs/>
          <w:kern w:val="10"/>
          <w:sz w:val="32"/>
          <w:szCs w:val="32"/>
        </w:rPr>
        <w:t>、本项目地点、规模如发生重大变化，或者水土保持方案</w:t>
      </w:r>
    </w:p>
    <w:p>
      <w:pPr>
        <w:shd w:val="clear" w:color="auto" w:fill="FFFFFF"/>
        <w:topLinePunct/>
        <w:spacing w:line="500" w:lineRule="exact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20%以上的，应在弃渣前编制水土保持方案（弃渣场补充）报告书，报我局审批。</w:t>
      </w:r>
    </w:p>
    <w:p>
      <w:pPr>
        <w:shd w:val="clear" w:color="auto" w:fill="FFFFFF"/>
        <w:topLinePunct/>
        <w:spacing w:line="500" w:lineRule="exact"/>
        <w:ind w:firstLine="643" w:firstLineChars="2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四、你单位在项目建设中应认真落实《中华人民共和国水土保持法》、《山东省水土保持条例》的有关要求，并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shd w:val="clear" w:color="auto" w:fill="FFFFFF"/>
        <w:spacing w:line="500" w:lineRule="exact"/>
        <w:ind w:left="1433" w:leftChars="300" w:hanging="803" w:hangingChars="250"/>
        <w:rPr>
          <w:rFonts w:eastAsia="方正仿宋简体"/>
          <w:b/>
          <w:bCs/>
          <w:kern w:val="10"/>
          <w:sz w:val="32"/>
          <w:szCs w:val="32"/>
        </w:rPr>
      </w:pPr>
    </w:p>
    <w:p>
      <w:pPr>
        <w:shd w:val="clear" w:color="auto" w:fill="FFFFFF"/>
        <w:spacing w:line="500" w:lineRule="exact"/>
        <w:ind w:left="1923" w:leftChars="304" w:hanging="1285" w:hangingChars="40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10"/>
          <w:sz w:val="32"/>
          <w:szCs w:val="32"/>
        </w:rPr>
        <w:t>: 1. 曲阜市综合文化中心项目水土保持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方案技术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意见）</w:t>
      </w:r>
    </w:p>
    <w:p>
      <w:pPr>
        <w:pStyle w:val="2"/>
        <w:spacing w:line="500" w:lineRule="exact"/>
        <w:ind w:left="1858" w:leftChars="732" w:hanging="321" w:hangingChars="100"/>
        <w:rPr>
          <w:rFonts w:hint="eastAsia"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2. 曲阜市综合文化中心项目水土保持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审批申请书</w:t>
      </w:r>
    </w:p>
    <w:p>
      <w:pPr>
        <w:pStyle w:val="2"/>
        <w:spacing w:line="500" w:lineRule="exact"/>
        <w:ind w:left="1858" w:leftChars="732" w:hanging="321" w:hangingChars="100"/>
        <w:rPr>
          <w:rFonts w:hint="eastAsia" w:eastAsia="方正仿宋简体"/>
          <w:b/>
          <w:bCs/>
          <w:kern w:val="10"/>
          <w:sz w:val="32"/>
          <w:szCs w:val="32"/>
        </w:rPr>
      </w:pPr>
    </w:p>
    <w:p>
      <w:pPr>
        <w:shd w:val="clear" w:color="auto" w:fill="FFFFFF"/>
        <w:spacing w:line="500" w:lineRule="exact"/>
        <w:ind w:left="1155" w:leftChars="550" w:firstLine="4658" w:firstLineChars="1450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shd w:val="clear" w:color="auto" w:fill="FFFFFF"/>
        <w:spacing w:line="500" w:lineRule="exact"/>
        <w:ind w:left="1155" w:leftChars="550" w:firstLine="5140" w:firstLineChars="1600"/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12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</w:rPr>
        <w:t>4</w:t>
      </w:r>
      <w:r>
        <w:rPr>
          <w:rFonts w:eastAsia="方正仿宋简体"/>
          <w:b/>
          <w:bCs/>
          <w:kern w:val="10"/>
          <w:sz w:val="32"/>
          <w:szCs w:val="32"/>
        </w:rPr>
        <w:t>日</w:t>
      </w: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1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Iq/EDSAQAAnA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1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hfPp/UAAAABgEAAA8AAAAAAAAAAQAg&#10;AAAAIgAAAGRycy9kb3ducmV2LnhtbFBLAQIUABQAAAAIAIdO4kALbWCF2QEAAKY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20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qg3vQ94BAACq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12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</w:rPr>
        <w:t>4</w:t>
      </w:r>
      <w:r>
        <w:rPr>
          <w:rFonts w:eastAsia="方正仿宋简体"/>
          <w:b/>
          <w:sz w:val="28"/>
          <w:szCs w:val="28"/>
        </w:rPr>
        <w:t>日印发</w:t>
      </w:r>
    </w:p>
    <w:sectPr>
      <w:footerReference r:id="rId5" w:type="first"/>
      <w:headerReference r:id="rId3" w:type="default"/>
      <w:footerReference r:id="rId4" w:type="default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400078D"/>
    <w:rsid w:val="04913A42"/>
    <w:rsid w:val="04F65ACD"/>
    <w:rsid w:val="053865BA"/>
    <w:rsid w:val="056A63AD"/>
    <w:rsid w:val="067B47A1"/>
    <w:rsid w:val="06D516CC"/>
    <w:rsid w:val="06FD19EA"/>
    <w:rsid w:val="078E0B3A"/>
    <w:rsid w:val="07AC45C0"/>
    <w:rsid w:val="07DE715F"/>
    <w:rsid w:val="08004F3A"/>
    <w:rsid w:val="0808318B"/>
    <w:rsid w:val="08664DD4"/>
    <w:rsid w:val="088441DB"/>
    <w:rsid w:val="095F7C85"/>
    <w:rsid w:val="097B6DDE"/>
    <w:rsid w:val="09D45A9F"/>
    <w:rsid w:val="0A2B2AFA"/>
    <w:rsid w:val="0A986061"/>
    <w:rsid w:val="0A9F0295"/>
    <w:rsid w:val="0AD00D03"/>
    <w:rsid w:val="0B03610E"/>
    <w:rsid w:val="0B230FE9"/>
    <w:rsid w:val="0B6A50E1"/>
    <w:rsid w:val="0BF03C15"/>
    <w:rsid w:val="0C09577A"/>
    <w:rsid w:val="0CC95D4F"/>
    <w:rsid w:val="0D03591A"/>
    <w:rsid w:val="0D876489"/>
    <w:rsid w:val="0D8A5BEB"/>
    <w:rsid w:val="0F1233B8"/>
    <w:rsid w:val="0F227953"/>
    <w:rsid w:val="10B54B68"/>
    <w:rsid w:val="11926115"/>
    <w:rsid w:val="11AC674D"/>
    <w:rsid w:val="133F518F"/>
    <w:rsid w:val="13A929AB"/>
    <w:rsid w:val="13B42D52"/>
    <w:rsid w:val="146E3BCC"/>
    <w:rsid w:val="1539083B"/>
    <w:rsid w:val="15454B23"/>
    <w:rsid w:val="16091A77"/>
    <w:rsid w:val="16515AD1"/>
    <w:rsid w:val="169E4B8B"/>
    <w:rsid w:val="16AE4138"/>
    <w:rsid w:val="179770DC"/>
    <w:rsid w:val="17AD5D22"/>
    <w:rsid w:val="17FC4C5D"/>
    <w:rsid w:val="18AF78F5"/>
    <w:rsid w:val="1A813C7D"/>
    <w:rsid w:val="1BF90C42"/>
    <w:rsid w:val="1DC91199"/>
    <w:rsid w:val="1E6A6B42"/>
    <w:rsid w:val="1EB06289"/>
    <w:rsid w:val="1F2236F2"/>
    <w:rsid w:val="200A6CC6"/>
    <w:rsid w:val="20B16D64"/>
    <w:rsid w:val="21A173C9"/>
    <w:rsid w:val="21F570D2"/>
    <w:rsid w:val="22A51B92"/>
    <w:rsid w:val="232A6F77"/>
    <w:rsid w:val="23963190"/>
    <w:rsid w:val="239C1653"/>
    <w:rsid w:val="23A776FD"/>
    <w:rsid w:val="25240EA7"/>
    <w:rsid w:val="25E232CD"/>
    <w:rsid w:val="25EF7EDF"/>
    <w:rsid w:val="260D1CAA"/>
    <w:rsid w:val="26564C4F"/>
    <w:rsid w:val="2723420B"/>
    <w:rsid w:val="27613B3B"/>
    <w:rsid w:val="27894B2B"/>
    <w:rsid w:val="28DE01A2"/>
    <w:rsid w:val="28E86B18"/>
    <w:rsid w:val="294174AD"/>
    <w:rsid w:val="298E19B6"/>
    <w:rsid w:val="2A0C0888"/>
    <w:rsid w:val="2A3F54E8"/>
    <w:rsid w:val="2AD54057"/>
    <w:rsid w:val="2AF44A92"/>
    <w:rsid w:val="2B2B6E0B"/>
    <w:rsid w:val="2B7632E8"/>
    <w:rsid w:val="2B9D2296"/>
    <w:rsid w:val="2BC66EE1"/>
    <w:rsid w:val="2C645154"/>
    <w:rsid w:val="2CF1436B"/>
    <w:rsid w:val="2D2E665B"/>
    <w:rsid w:val="2D4010B5"/>
    <w:rsid w:val="2E0B472A"/>
    <w:rsid w:val="2E0E7FB7"/>
    <w:rsid w:val="2E122FFB"/>
    <w:rsid w:val="2E9E620C"/>
    <w:rsid w:val="2F1C1FED"/>
    <w:rsid w:val="2F424D40"/>
    <w:rsid w:val="2F453480"/>
    <w:rsid w:val="2F536D6B"/>
    <w:rsid w:val="2F8638B7"/>
    <w:rsid w:val="2FE9604B"/>
    <w:rsid w:val="30AF7521"/>
    <w:rsid w:val="314C5265"/>
    <w:rsid w:val="317F5355"/>
    <w:rsid w:val="31936BA4"/>
    <w:rsid w:val="31DB2966"/>
    <w:rsid w:val="31F974F2"/>
    <w:rsid w:val="3210272E"/>
    <w:rsid w:val="321A6B21"/>
    <w:rsid w:val="32354C72"/>
    <w:rsid w:val="324C0D40"/>
    <w:rsid w:val="32632C2C"/>
    <w:rsid w:val="3286037D"/>
    <w:rsid w:val="32F61D8D"/>
    <w:rsid w:val="3369230E"/>
    <w:rsid w:val="339E471F"/>
    <w:rsid w:val="34037389"/>
    <w:rsid w:val="341A32EE"/>
    <w:rsid w:val="347275ED"/>
    <w:rsid w:val="34BA4CA2"/>
    <w:rsid w:val="35854A37"/>
    <w:rsid w:val="35E23F89"/>
    <w:rsid w:val="37172ADE"/>
    <w:rsid w:val="37327B60"/>
    <w:rsid w:val="37461CDB"/>
    <w:rsid w:val="379B7966"/>
    <w:rsid w:val="37CC1909"/>
    <w:rsid w:val="380A7498"/>
    <w:rsid w:val="38861141"/>
    <w:rsid w:val="39B972C0"/>
    <w:rsid w:val="39C452E2"/>
    <w:rsid w:val="3A8118AD"/>
    <w:rsid w:val="3B866EC0"/>
    <w:rsid w:val="3BA016DD"/>
    <w:rsid w:val="3C977BF9"/>
    <w:rsid w:val="3D447FF5"/>
    <w:rsid w:val="3D9503B4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417C43"/>
    <w:rsid w:val="427A6A93"/>
    <w:rsid w:val="42E11BEE"/>
    <w:rsid w:val="42EB0653"/>
    <w:rsid w:val="43481DC9"/>
    <w:rsid w:val="43BD30C2"/>
    <w:rsid w:val="445A582C"/>
    <w:rsid w:val="44D128D4"/>
    <w:rsid w:val="45042506"/>
    <w:rsid w:val="45582169"/>
    <w:rsid w:val="456F794E"/>
    <w:rsid w:val="46BE4E25"/>
    <w:rsid w:val="4774573F"/>
    <w:rsid w:val="4783365C"/>
    <w:rsid w:val="47A0745D"/>
    <w:rsid w:val="48013F04"/>
    <w:rsid w:val="48086F22"/>
    <w:rsid w:val="48450CB8"/>
    <w:rsid w:val="484C5A0A"/>
    <w:rsid w:val="49245C85"/>
    <w:rsid w:val="4AAD100B"/>
    <w:rsid w:val="4AAF4916"/>
    <w:rsid w:val="4BA51960"/>
    <w:rsid w:val="4BA559C7"/>
    <w:rsid w:val="4BB52FB1"/>
    <w:rsid w:val="4BD64726"/>
    <w:rsid w:val="4BEC2C69"/>
    <w:rsid w:val="4C3C12B1"/>
    <w:rsid w:val="4C560F3F"/>
    <w:rsid w:val="4C8353EE"/>
    <w:rsid w:val="4CD178D9"/>
    <w:rsid w:val="4D617E8D"/>
    <w:rsid w:val="4E5A6C8F"/>
    <w:rsid w:val="4E7C775D"/>
    <w:rsid w:val="4EB12D1A"/>
    <w:rsid w:val="4F10759D"/>
    <w:rsid w:val="4FAF0D39"/>
    <w:rsid w:val="501B37CA"/>
    <w:rsid w:val="50EB0E0C"/>
    <w:rsid w:val="5108431A"/>
    <w:rsid w:val="51394FD3"/>
    <w:rsid w:val="52A46725"/>
    <w:rsid w:val="52F03A1E"/>
    <w:rsid w:val="53B800B7"/>
    <w:rsid w:val="53B8549A"/>
    <w:rsid w:val="53D6140C"/>
    <w:rsid w:val="53DE4B74"/>
    <w:rsid w:val="54D92C13"/>
    <w:rsid w:val="555D0BCD"/>
    <w:rsid w:val="55F35284"/>
    <w:rsid w:val="56085DA9"/>
    <w:rsid w:val="560C7788"/>
    <w:rsid w:val="563A23E8"/>
    <w:rsid w:val="56932EF0"/>
    <w:rsid w:val="56EE2E84"/>
    <w:rsid w:val="57AA5605"/>
    <w:rsid w:val="58935364"/>
    <w:rsid w:val="58A81A7F"/>
    <w:rsid w:val="591343D6"/>
    <w:rsid w:val="591B3C6F"/>
    <w:rsid w:val="591D3214"/>
    <w:rsid w:val="5A2529DB"/>
    <w:rsid w:val="5C0624F6"/>
    <w:rsid w:val="5C12480B"/>
    <w:rsid w:val="5C183ADE"/>
    <w:rsid w:val="5C4714C6"/>
    <w:rsid w:val="5C696924"/>
    <w:rsid w:val="5D1F5FA9"/>
    <w:rsid w:val="5E0B0B07"/>
    <w:rsid w:val="5E677F78"/>
    <w:rsid w:val="5F105312"/>
    <w:rsid w:val="5F197E44"/>
    <w:rsid w:val="5F3C4FCF"/>
    <w:rsid w:val="5F410228"/>
    <w:rsid w:val="5F823CEE"/>
    <w:rsid w:val="608E65A5"/>
    <w:rsid w:val="611D0598"/>
    <w:rsid w:val="61353BBF"/>
    <w:rsid w:val="61C30A75"/>
    <w:rsid w:val="62040C97"/>
    <w:rsid w:val="627B0046"/>
    <w:rsid w:val="62D63DEB"/>
    <w:rsid w:val="63B8233B"/>
    <w:rsid w:val="63D773BF"/>
    <w:rsid w:val="63E236B2"/>
    <w:rsid w:val="63F23111"/>
    <w:rsid w:val="64701B24"/>
    <w:rsid w:val="6477362B"/>
    <w:rsid w:val="649F6F43"/>
    <w:rsid w:val="64DB7FC6"/>
    <w:rsid w:val="650D7F02"/>
    <w:rsid w:val="652531C0"/>
    <w:rsid w:val="65D85EE0"/>
    <w:rsid w:val="65EE4478"/>
    <w:rsid w:val="6668343D"/>
    <w:rsid w:val="673A519F"/>
    <w:rsid w:val="674B3FF9"/>
    <w:rsid w:val="677D7893"/>
    <w:rsid w:val="67F660C3"/>
    <w:rsid w:val="682F79C8"/>
    <w:rsid w:val="68390F77"/>
    <w:rsid w:val="69890730"/>
    <w:rsid w:val="69C47D1B"/>
    <w:rsid w:val="6A217ABB"/>
    <w:rsid w:val="6A254CBD"/>
    <w:rsid w:val="6AF65109"/>
    <w:rsid w:val="6C21117F"/>
    <w:rsid w:val="6CF245EC"/>
    <w:rsid w:val="6D76571F"/>
    <w:rsid w:val="6EE4042A"/>
    <w:rsid w:val="6F4D3B87"/>
    <w:rsid w:val="6F6E5A3E"/>
    <w:rsid w:val="6F8A3A9C"/>
    <w:rsid w:val="6FB20DE5"/>
    <w:rsid w:val="6FD70D60"/>
    <w:rsid w:val="7011035E"/>
    <w:rsid w:val="70590162"/>
    <w:rsid w:val="705976B0"/>
    <w:rsid w:val="707420AE"/>
    <w:rsid w:val="70B86BEE"/>
    <w:rsid w:val="714D4CB1"/>
    <w:rsid w:val="716A4EB5"/>
    <w:rsid w:val="717E2D31"/>
    <w:rsid w:val="71F1516B"/>
    <w:rsid w:val="722B4614"/>
    <w:rsid w:val="729D0A5D"/>
    <w:rsid w:val="741517F9"/>
    <w:rsid w:val="742255C2"/>
    <w:rsid w:val="744C473D"/>
    <w:rsid w:val="74C0369F"/>
    <w:rsid w:val="75467FDD"/>
    <w:rsid w:val="75781E53"/>
    <w:rsid w:val="75BB4578"/>
    <w:rsid w:val="76984DF4"/>
    <w:rsid w:val="77DC7B1A"/>
    <w:rsid w:val="7828596B"/>
    <w:rsid w:val="78AD3909"/>
    <w:rsid w:val="79725901"/>
    <w:rsid w:val="79D258A3"/>
    <w:rsid w:val="7A2A4D41"/>
    <w:rsid w:val="7A613880"/>
    <w:rsid w:val="7A655BC3"/>
    <w:rsid w:val="7BD85C2F"/>
    <w:rsid w:val="7C6C4703"/>
    <w:rsid w:val="7CCF6B33"/>
    <w:rsid w:val="7E955768"/>
    <w:rsid w:val="7EC376CA"/>
    <w:rsid w:val="7ECC7AEB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2020-12-04T07:47:40Z</cp:lastPrinted>
  <dcterms:modified xsi:type="dcterms:W3CDTF">2020-12-04T07:48:12Z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