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24"/>
          <w:szCs w:val="24"/>
        </w:rPr>
        <w:t>2018年度政府信息公开工作情况统计表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24"/>
          <w:szCs w:val="24"/>
        </w:rPr>
        <w:t>市交通运输局</w:t>
      </w:r>
    </w:p>
    <w:tbl>
      <w:tblPr>
        <w:tblW w:w="8242" w:type="dxa"/>
        <w:tblInd w:w="6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33"/>
        <w:gridCol w:w="1105"/>
        <w:gridCol w:w="110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rHeight w:val="510" w:hRule="atLeast"/>
        </w:trPr>
        <w:tc>
          <w:tcPr>
            <w:tcW w:w="6033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统计指标</w:t>
            </w:r>
          </w:p>
        </w:tc>
        <w:tc>
          <w:tcPr>
            <w:tcW w:w="1105" w:type="dxa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单位</w:t>
            </w:r>
          </w:p>
        </w:tc>
        <w:tc>
          <w:tcPr>
            <w:tcW w:w="1104" w:type="dxa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统计数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一、主动公开情况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（一）主动公开政府信息数（不同渠道和方式公</w:t>
            </w:r>
            <w:bookmarkStart w:id="0" w:name="_GoBack"/>
            <w:bookmarkEnd w:id="0"/>
            <w:r>
              <w:rPr>
                <w:bdr w:val="none" w:color="auto" w:sz="0" w:space="0"/>
              </w:rPr>
              <w:t>开相同信息计1条）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条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其中：主动公开规范性文件数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条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制发规范性文件总数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件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（二）通过不同渠道和方式公开政府信息的情况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1.政府公报公开政府信息数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条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2.政府网站公开政府信息数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条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39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3.政务微博公开政府信息数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条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4.政务微信公开政府信息数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条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5.其他方式公开政府信息数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条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二、回应解读情况（不同方式回应同一热点或舆情计1次）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0A0A0A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（一）回应公众关注热点或重大舆情数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（不同方式回应同一热点或舆情计1次）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次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（二）通过不同渠道和方式回应解读的情况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1.参加或举办新闻发布会总次数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次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其中：主要负责同志参加新闻发布会次数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次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2.政府网站在线访谈次数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次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其中：主要负责同志参加政府网站在线访谈次数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次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3.政策解读稿件发布数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篇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4.微博微信回应事件数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次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5.其他方式回应事件数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次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三、依申请公开情况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single" w:color="0A0A0A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（一）收到申请数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件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1.当面申请数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件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2.传真申请数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件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3.网络申请数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件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single" w:color="auto" w:sz="8" w:space="0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4.信函申请数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件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single" w:color="auto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5.其他形式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件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（二）申请办结数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件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1.按时办结数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件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2.延期办结数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件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（三）申请答复数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件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1.属于已主动公开范围数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件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2.同意公开答复数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件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3.同意部分公开答复数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件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4.不同意公开答复数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件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其中：涉及国家秘密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件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涉及商业秘密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件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涉及个人隐私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件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危及国家安全、公共安全、经济安全和社会稳定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件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不是《条例》所指政府信息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件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法律法规规定的其他情形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件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5.不属于本行政机关公开数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件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6.申请信息不存在数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件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7.告知作出更改补充数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件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8.告知通过其他途径办理数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件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四、行政复议数量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件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（一）维持具体行政行为数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件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（二）被依法纠错数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件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（三）其他情形数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件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五、行政诉讼数量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件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（一）维持具体行政行为或者驳回原告诉讼请求数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件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（二）被依法纠错数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件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（三）其他情形数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件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六、被举报投诉数量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件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（一）维持具体行政行为数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件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（二）被纠错数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件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（三）其他情形数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件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七、向图书馆、档案馆等查阅场所报送信息数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条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（一）纸质文件数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条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（二）电子文件数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条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八、设置政府信息查阅点数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个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（一）市政府各部门、单位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个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（二）各镇人民政府、街道办事处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个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九、查阅点接待人数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次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（一）市政府各部门、单位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次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nil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（二）各镇人民政府、街道办事处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次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inset" w:color="000000" w:sz="8" w:space="0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十、机构建设和保障经费情况</w:t>
            </w:r>
          </w:p>
        </w:tc>
        <w:tc>
          <w:tcPr>
            <w:tcW w:w="1105" w:type="dxa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</w:p>
        </w:tc>
        <w:tc>
          <w:tcPr>
            <w:tcW w:w="1104" w:type="dxa"/>
            <w:tcBorders>
              <w:top w:val="inset" w:color="000000" w:sz="8" w:space="0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（一）政府信息公开工作专门机构数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个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（二）设置政府信息公开查阅点数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个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（三）从事政府信息公开工作人员数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人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1.专职人员数（不包括政府公报及政府网站工作人员数）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人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2.兼职人员数</w:t>
            </w:r>
          </w:p>
        </w:tc>
        <w:tc>
          <w:tcPr>
            <w:tcW w:w="1105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人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033" w:type="dxa"/>
            <w:tcBorders>
              <w:top w:val="nil"/>
              <w:left w:val="inset" w:color="000000" w:sz="8" w:space="0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（四）政府信息公开专项经费（不包括用于政府公报编辑管理及政府网站建设维护等方面的经费）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万元</w:t>
            </w:r>
          </w:p>
        </w:tc>
        <w:tc>
          <w:tcPr>
            <w:tcW w:w="1104" w:type="dxa"/>
            <w:tcBorders>
              <w:top w:val="nil"/>
              <w:left w:val="nil"/>
              <w:bottom w:val="inset" w:color="000000" w:sz="8" w:space="0"/>
              <w:right w:val="inset" w:color="000000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  <w:t>注：各子栏目数总数要等于总栏目数量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079B7"/>
    <w:rsid w:val="3D0079B7"/>
    <w:rsid w:val="40A36B2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2019-07-19T07:20:00Z</dcterms:created>
  <dc:creator>Administrator</dc:creator>
  <cp:lastModifiedBy>Administrator</cp:lastModifiedBy>
  <dcterms:modified xsi:type="dcterms:W3CDTF">2019-07-19T07:21:46Z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