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曲阜市应急管理局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简体" w:cs="Times New Roman"/>
          <w:i w:val="0"/>
          <w:iCs w:val="0"/>
          <w:caps w:val="0"/>
          <w:color w:val="000000"/>
          <w:spacing w:val="0"/>
          <w:sz w:val="32"/>
          <w:szCs w:val="32"/>
        </w:rPr>
      </w:pPr>
      <w:r>
        <w:rPr>
          <w:rFonts w:hint="eastAsia" w:ascii="方正小标宋简体" w:hAnsi="方正小标宋简体" w:eastAsia="方正小标宋简体" w:cs="方正小标宋简体"/>
          <w:i w:val="0"/>
          <w:iCs w:val="0"/>
          <w:caps w:val="0"/>
          <w:color w:val="000000"/>
          <w:spacing w:val="0"/>
          <w:sz w:val="44"/>
          <w:szCs w:val="44"/>
        </w:rPr>
        <w:t>2022年政府信息公开工作年度报告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本报告由曲阜市应急管理局按照《中华人民共和国政府信息公开条例》（以下简称《条例》）和《中华人民共和国政府信息公开工作年度报告格式》（国办公开办函〔2021〕30号）要求编制。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报告所列数据的统计期限自2022年1月1日起至2022年12月31日止。本报告电子版可在“中国·曲阜”政府门户网站（www.qufu.gov.cn）查阅或下载。如对本报告有疑问，请与曲阜市应急管理局联系（地址：曲阜市鲁城街道大同路8号，联系电话：0537—4495180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黑体简体" w:hAnsi="方正黑体简体" w:eastAsia="方正黑体简体" w:cs="方正黑体简体"/>
          <w:i w:val="0"/>
          <w:iCs w:val="0"/>
          <w:caps w:val="0"/>
          <w:color w:val="000000"/>
          <w:spacing w:val="0"/>
          <w:sz w:val="32"/>
          <w:szCs w:val="32"/>
        </w:rPr>
      </w:pPr>
      <w:r>
        <w:rPr>
          <w:rFonts w:hint="eastAsia" w:ascii="方正黑体简体" w:hAnsi="方正黑体简体" w:eastAsia="方正黑体简体" w:cs="方正黑体简体"/>
          <w:i w:val="0"/>
          <w:iCs w:val="0"/>
          <w:caps w:val="0"/>
          <w:color w:val="000000"/>
          <w:spacing w:val="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2022年，曲阜市应急管理局严格落实国家、省市关于安全生产、防灾减灾救灾和应急管理工作一系列决策部署，始终保持“事争一流、唯旗是夺”的工作状态，大力弘扬“严、真、细、实、快”的工作作风，牢固树立以人为本、安全发展理念，进一步强化红线意识和底线思维，扎实提升基础工作，全面开展安全风险排查整治，全力抓好防灾减灾救灾工作，全方位提升应急管理能力和应急救援水平，为加快建设“东方圣城·幸福曲阜”，提供坚实安全保障。同时，扎实推进政府信息公开。依法履行公开义务，及时更新、发布群众普遍关心的各项安全生产和应急管理工作信息，全面深化公开内容，努力提高公开实效，切实保障了群众的知情权、参与权和监督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drawing>
          <wp:anchor distT="0" distB="0" distL="114300" distR="114300" simplePos="0" relativeHeight="251659264" behindDoc="0" locked="0" layoutInCell="1" allowOverlap="1">
            <wp:simplePos x="0" y="0"/>
            <wp:positionH relativeFrom="column">
              <wp:posOffset>589915</wp:posOffset>
            </wp:positionH>
            <wp:positionV relativeFrom="paragraph">
              <wp:posOffset>3429000</wp:posOffset>
            </wp:positionV>
            <wp:extent cx="4429125" cy="2676525"/>
            <wp:effectExtent l="0" t="0" r="9525" b="952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4429125" cy="2676525"/>
                    </a:xfrm>
                    <a:prstGeom prst="rect">
                      <a:avLst/>
                    </a:prstGeom>
                    <a:noFill/>
                    <a:ln w="9525">
                      <a:noFill/>
                    </a:ln>
                  </pic:spPr>
                </pic:pic>
              </a:graphicData>
            </a:graphic>
          </wp:anchor>
        </w:drawing>
      </w:r>
      <w:r>
        <w:rPr>
          <w:rFonts w:hint="default" w:ascii="Times New Roman" w:hAnsi="Times New Roman" w:eastAsia="方正仿宋简体" w:cs="Times New Roman"/>
          <w:i w:val="0"/>
          <w:iCs w:val="0"/>
          <w:caps w:val="0"/>
          <w:color w:val="000000"/>
          <w:spacing w:val="0"/>
          <w:sz w:val="32"/>
          <w:szCs w:val="32"/>
        </w:rPr>
        <w:t>2022年，曲阜市应急管理局通过各类媒体平台发布信息共计2000余条，其中通过曲阜市门户网站政务公开栏目主动公开各类政府信息（政策解读、机构职能、领导信息、行政权力、预算决算、应急预案、应急预警、应急处置及应急避难场所等）187条，占比9%；通过网站子点发布各类信息（应急动态、通知通告、要闻推荐、安全生产、防灾减灾、应急救援、政策法规）640条，占比30%；通过微信公众号“曲阜市应急管理局”发布信息（安全生产、应急管理工作动态、警示教育片、典型案例、政策法规、应急科普等内容）1300条，占比61%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在编制的《曲阜市应急局政府信息公开指南》中，对依申请公开工作的程序、申请方式、答复方式、答复时限等做了详细规定。2022年，共收到政府信息公开申请0条，按时答复0条，未收到以政府信息公开为由提起的行政复议和行政诉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结合公开需要和工作实际，及时更新栏目信息，特别是政务新媒体。严格执行“分级审核、先审后发”的信息发布程序，落实三审制，明确审核流程，严把政治关、政策关、保密关、文字关，确保信息发布准确、安全、高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全面加强政府门户网站公开专栏维护，及时更新安全生产、灾后救助、应急管理、风险预警、回应关切等信息。以政务公开为抓手全力做好应急管理、防灾减灾等各项工作，确保防汛救灾应急响应等重大信息第一时间同步发布，并为社会群众提供应急管理和防灾减灾知识、事故警示、政策法规解读等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按要求经常开展政务公开自查，找准问题，及时完成任务，并接受上级检查考核，根据测评反馈问题，及时对照问题明细整改落实，上报整改报告，不断提升信息公开质量。通过局科室负责人监督、局分管领导监督、主要领导监督的方式实行内部监督，并积极开展社会监督。2022年我局未出现因信息公开不到位需要进行责任追究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方正黑体简体" w:hAnsi="方正黑体简体"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黑体简体" w:hAnsi="方正黑体简体" w:eastAsia="方正黑体简体" w:cs="方正黑体简体"/>
          <w:i w:val="0"/>
          <w:iCs w:val="0"/>
          <w:caps w:val="0"/>
          <w:color w:val="000000"/>
          <w:spacing w:val="0"/>
          <w:sz w:val="32"/>
          <w:szCs w:val="32"/>
        </w:rPr>
      </w:pPr>
      <w:r>
        <w:rPr>
          <w:rFonts w:hint="eastAsia" w:ascii="方正黑体简体" w:hAnsi="方正黑体简体" w:eastAsia="方正黑体简体" w:cs="方正黑体简体"/>
          <w:i w:val="0"/>
          <w:iCs w:val="0"/>
          <w:caps w:val="0"/>
          <w:color w:val="000000"/>
          <w:spacing w:val="0"/>
          <w:sz w:val="32"/>
          <w:szCs w:val="32"/>
        </w:rPr>
        <w:t>二、主动公开政府信息情况</w:t>
      </w:r>
    </w:p>
    <w:tbl>
      <w:tblPr>
        <w:tblW w:w="87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信息内容</w:t>
            </w:r>
          </w:p>
        </w:tc>
        <w:tc>
          <w:tcPr>
            <w:tcW w:w="213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本年制发件数</w:t>
            </w:r>
          </w:p>
        </w:tc>
        <w:tc>
          <w:tcPr>
            <w:tcW w:w="222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本年废止件数</w:t>
            </w:r>
          </w:p>
        </w:tc>
        <w:tc>
          <w:tcPr>
            <w:tcW w:w="199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规章</w:t>
            </w:r>
          </w:p>
        </w:tc>
        <w:tc>
          <w:tcPr>
            <w:tcW w:w="21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222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19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行政规范性文件</w:t>
            </w:r>
          </w:p>
        </w:tc>
        <w:tc>
          <w:tcPr>
            <w:tcW w:w="21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222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19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行政许可</w:t>
            </w:r>
          </w:p>
        </w:tc>
        <w:tc>
          <w:tcPr>
            <w:tcW w:w="6345"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行政处罚</w:t>
            </w:r>
          </w:p>
        </w:tc>
        <w:tc>
          <w:tcPr>
            <w:tcW w:w="6345"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134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行政强制</w:t>
            </w:r>
          </w:p>
        </w:tc>
        <w:tc>
          <w:tcPr>
            <w:tcW w:w="6345"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行政事业性收费</w:t>
            </w:r>
          </w:p>
        </w:tc>
        <w:tc>
          <w:tcPr>
            <w:tcW w:w="6345"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黑体简体" w:hAnsi="方正黑体简体"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黑体简体" w:hAnsi="方正黑体简体"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方正黑体简体" w:hAnsi="方正黑体简体"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黑体简体" w:hAnsi="方正黑体简体" w:eastAsia="方正黑体简体" w:cs="方正黑体简体"/>
          <w:i w:val="0"/>
          <w:iCs w:val="0"/>
          <w:caps w:val="0"/>
          <w:color w:val="000000"/>
          <w:spacing w:val="0"/>
          <w:sz w:val="32"/>
          <w:szCs w:val="32"/>
        </w:rPr>
      </w:pPr>
      <w:r>
        <w:rPr>
          <w:rFonts w:hint="eastAsia" w:ascii="方正黑体简体" w:hAnsi="方正黑体简体" w:eastAsia="方正黑体简体" w:cs="方正黑体简体"/>
          <w:i w:val="0"/>
          <w:iCs w:val="0"/>
          <w:caps w:val="0"/>
          <w:color w:val="000000"/>
          <w:spacing w:val="0"/>
          <w:sz w:val="32"/>
          <w:szCs w:val="32"/>
        </w:rPr>
        <w:t>三、收到和处理政府信息公开申请情况</w:t>
      </w:r>
    </w:p>
    <w:tbl>
      <w:tblPr>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4"/>
        <w:gridCol w:w="1056"/>
        <w:gridCol w:w="2809"/>
        <w:gridCol w:w="783"/>
        <w:gridCol w:w="594"/>
        <w:gridCol w:w="580"/>
        <w:gridCol w:w="594"/>
        <w:gridCol w:w="565"/>
        <w:gridCol w:w="552"/>
        <w:gridCol w:w="5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590"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79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自然人</w:t>
            </w:r>
          </w:p>
        </w:tc>
        <w:tc>
          <w:tcPr>
            <w:tcW w:w="2910" w:type="dxa"/>
            <w:gridSpan w:val="5"/>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79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商业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企业</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科研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机构</w:t>
            </w:r>
          </w:p>
        </w:tc>
        <w:tc>
          <w:tcPr>
            <w:tcW w:w="60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社会公益组织</w:t>
            </w:r>
          </w:p>
        </w:tc>
        <w:tc>
          <w:tcPr>
            <w:tcW w:w="570"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法律服务机构</w:t>
            </w:r>
          </w:p>
        </w:tc>
        <w:tc>
          <w:tcPr>
            <w:tcW w:w="55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jc w:val="center"/>
        </w:trPr>
        <w:tc>
          <w:tcPr>
            <w:tcW w:w="4590"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一、本年新收政府信息公开申请数量</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0" w:hRule="atLeast"/>
          <w:jc w:val="center"/>
        </w:trPr>
        <w:tc>
          <w:tcPr>
            <w:tcW w:w="4590"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二、上年结转政府信息公开申请数量</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三、本年度办理结果</w:t>
            </w:r>
          </w:p>
        </w:tc>
        <w:tc>
          <w:tcPr>
            <w:tcW w:w="3825" w:type="dxa"/>
            <w:gridSpan w:val="2"/>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（一）予以公开</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3825" w:type="dxa"/>
            <w:gridSpan w:val="2"/>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（三）不予公开</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1.属于国家秘密</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2.其他法律行政法规禁止公开</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3.危及“三安全一稳定”</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4.保护第三方合法权益</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5.属于三类内部事务信息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6.属于四类过程性信息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7.属于行政执法案卷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8.属于行政查询事项</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（四）无法提供</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1.本机关不掌握相关政府信息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2.没有现成信息需要另行制作</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3.补正后申请内容仍不明确</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简体" w:cs="Times New Roman"/>
                <w:sz w:val="32"/>
                <w:szCs w:val="32"/>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（五）不予处理</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1.信访举报投诉类申请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2.重复申请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3.要求提供公开出版物</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4.无正当理由大量反复申请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5.要求行政机关确认或重新出具已获取信息</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restart"/>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（六）其他处理</w:t>
            </w: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94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288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3.其他</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3825" w:type="dxa"/>
            <w:gridSpan w:val="2"/>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（七）总计</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590" w:type="dxa"/>
            <w:gridSpan w:val="3"/>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四、结转下年度继续办理</w:t>
            </w:r>
          </w:p>
        </w:tc>
        <w:tc>
          <w:tcPr>
            <w:tcW w:w="79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70"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2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黑体简体" w:hAnsi="方正黑体简体"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黑体简体" w:hAnsi="方正黑体简体"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黑体简体" w:hAnsi="方正黑体简体" w:eastAsia="方正黑体简体" w:cs="方正黑体简体"/>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default" w:ascii="Times New Roman" w:hAnsi="Times New Roman" w:eastAsia="方正仿宋简体" w:cs="Times New Roman"/>
          <w:i w:val="0"/>
          <w:iCs w:val="0"/>
          <w:caps w:val="0"/>
          <w:color w:val="000000"/>
          <w:spacing w:val="0"/>
          <w:sz w:val="32"/>
          <w:szCs w:val="32"/>
        </w:rPr>
      </w:pPr>
      <w:r>
        <w:rPr>
          <w:rFonts w:hint="eastAsia" w:ascii="方正黑体简体" w:hAnsi="方正黑体简体" w:eastAsia="方正黑体简体" w:cs="方正黑体简体"/>
          <w:i w:val="0"/>
          <w:iCs w:val="0"/>
          <w:caps w:val="0"/>
          <w:color w:val="000000"/>
          <w:spacing w:val="0"/>
          <w:sz w:val="32"/>
          <w:szCs w:val="32"/>
        </w:rPr>
        <w:t>四、政府信息公开行政复议、行政诉讼情况</w:t>
      </w:r>
    </w:p>
    <w:tbl>
      <w:tblPr>
        <w:tblW w:w="8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97"/>
        <w:gridCol w:w="597"/>
        <w:gridCol w:w="585"/>
        <w:gridCol w:w="573"/>
        <w:gridCol w:w="522"/>
        <w:gridCol w:w="621"/>
        <w:gridCol w:w="621"/>
        <w:gridCol w:w="621"/>
        <w:gridCol w:w="609"/>
        <w:gridCol w:w="522"/>
        <w:gridCol w:w="621"/>
        <w:gridCol w:w="621"/>
        <w:gridCol w:w="622"/>
        <w:gridCol w:w="550"/>
        <w:gridCol w:w="5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89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行政复议</w:t>
            </w:r>
          </w:p>
        </w:tc>
        <w:tc>
          <w:tcPr>
            <w:tcW w:w="5925" w:type="dxa"/>
            <w:gridSpan w:val="10"/>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结果维持</w:t>
            </w:r>
          </w:p>
        </w:tc>
        <w:tc>
          <w:tcPr>
            <w:tcW w:w="61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纠正</w:t>
            </w:r>
          </w:p>
        </w:tc>
        <w:tc>
          <w:tcPr>
            <w:tcW w:w="60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其他</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结果</w:t>
            </w:r>
          </w:p>
        </w:tc>
        <w:tc>
          <w:tcPr>
            <w:tcW w:w="58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尚未</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审结</w:t>
            </w:r>
          </w:p>
        </w:tc>
        <w:tc>
          <w:tcPr>
            <w:tcW w:w="46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总计</w:t>
            </w:r>
          </w:p>
        </w:tc>
        <w:tc>
          <w:tcPr>
            <w:tcW w:w="301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未经复议直接起诉</w:t>
            </w:r>
          </w:p>
        </w:tc>
        <w:tc>
          <w:tcPr>
            <w:tcW w:w="2910"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60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58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46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结果</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维持</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结果</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纠正</w:t>
            </w:r>
          </w:p>
        </w:tc>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其他</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结果</w:t>
            </w:r>
          </w:p>
        </w:tc>
        <w:tc>
          <w:tcPr>
            <w:tcW w:w="63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尚未</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审结</w:t>
            </w:r>
          </w:p>
        </w:tc>
        <w:tc>
          <w:tcPr>
            <w:tcW w:w="4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总计</w:t>
            </w:r>
          </w:p>
        </w:tc>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结果</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维持</w:t>
            </w:r>
          </w:p>
        </w:tc>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结果</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纠正</w:t>
            </w:r>
          </w:p>
        </w:tc>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其他</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结果</w:t>
            </w:r>
          </w:p>
        </w:tc>
        <w:tc>
          <w:tcPr>
            <w:tcW w:w="5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尚未</w:t>
            </w:r>
            <w:r>
              <w:rPr>
                <w:rFonts w:hint="default" w:ascii="Times New Roman" w:hAnsi="Times New Roman" w:eastAsia="方正仿宋简体" w:cs="Times New Roman"/>
                <w:sz w:val="32"/>
                <w:szCs w:val="32"/>
                <w:bdr w:val="none" w:color="auto" w:sz="0" w:space="0"/>
              </w:rPr>
              <w:br w:type="textWrapping"/>
            </w:r>
            <w:r>
              <w:rPr>
                <w:rFonts w:hint="default" w:ascii="Times New Roman" w:hAnsi="Times New Roman" w:eastAsia="方正仿宋简体" w:cs="Times New Roman"/>
                <w:sz w:val="32"/>
                <w:szCs w:val="32"/>
                <w:bdr w:val="none" w:color="auto" w:sz="0" w:space="0"/>
              </w:rPr>
              <w:t>审结</w:t>
            </w:r>
          </w:p>
        </w:tc>
        <w:tc>
          <w:tcPr>
            <w:tcW w:w="4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4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4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6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c>
          <w:tcPr>
            <w:tcW w:w="4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eastAsia" w:ascii="方正黑体简体" w:hAnsi="方正黑体简体" w:eastAsia="方正黑体简体" w:cs="方正黑体简体"/>
          <w:i w:val="0"/>
          <w:iCs w:val="0"/>
          <w:caps w:val="0"/>
          <w:color w:val="000000"/>
          <w:spacing w:val="0"/>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2022年我局政务公开工作取得一定成绩，但同时也存在一些不足。一是部分信息中存在表述不当的问题。二是部分子栏目信息公开内容不够完善，下一步：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黑体简体" w:hAnsi="方正黑体简体" w:eastAsia="方正黑体简体" w:cs="方正黑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一是夯实理论基础，提升业务水平。</w:t>
      </w:r>
      <w:r>
        <w:rPr>
          <w:rFonts w:hint="default" w:ascii="Times New Roman" w:hAnsi="Times New Roman" w:eastAsia="方正仿宋简体" w:cs="Times New Roman"/>
          <w:i w:val="0"/>
          <w:iCs w:val="0"/>
          <w:caps w:val="0"/>
          <w:color w:val="000000"/>
          <w:spacing w:val="0"/>
          <w:sz w:val="32"/>
          <w:szCs w:val="32"/>
        </w:rPr>
        <w:t>充分利用各种方式和渠道，全面强化工作人员对于政务公开业务的培训和学习。</w:t>
      </w:r>
      <w:r>
        <w:rPr>
          <w:rFonts w:hint="eastAsia" w:ascii="方正楷体简体" w:hAnsi="方正楷体简体" w:eastAsia="方正楷体简体" w:cs="方正楷体简体"/>
          <w:i w:val="0"/>
          <w:iCs w:val="0"/>
          <w:caps w:val="0"/>
          <w:color w:val="000000"/>
          <w:spacing w:val="0"/>
          <w:sz w:val="32"/>
          <w:szCs w:val="32"/>
        </w:rPr>
        <w:t>二是进加强对信息发布内容的审核力度</w:t>
      </w:r>
      <w:r>
        <w:rPr>
          <w:rFonts w:hint="eastAsia" w:ascii="方正楷体简体" w:hAnsi="方正楷体简体" w:eastAsia="方正楷体简体" w:cs="方正楷体简体"/>
          <w:i w:val="0"/>
          <w:iCs w:val="0"/>
          <w:caps w:val="0"/>
          <w:color w:val="000000"/>
          <w:spacing w:val="0"/>
          <w:sz w:val="32"/>
          <w:szCs w:val="32"/>
          <w:lang w:eastAsia="zh-CN"/>
        </w:rPr>
        <w:t>。</w:t>
      </w:r>
      <w:r>
        <w:rPr>
          <w:rFonts w:hint="default" w:ascii="Times New Roman" w:hAnsi="Times New Roman" w:eastAsia="方正仿宋简体" w:cs="Times New Roman"/>
          <w:i w:val="0"/>
          <w:iCs w:val="0"/>
          <w:caps w:val="0"/>
          <w:color w:val="000000"/>
          <w:spacing w:val="0"/>
          <w:sz w:val="32"/>
          <w:szCs w:val="32"/>
        </w:rPr>
        <w:t>严格落实信息发布三审制，严格按照依公开申请的程序、条件实行公开工作，规范公开的时间，规范公开程序，规范公开目录的管理，不断完善制度。</w:t>
      </w:r>
      <w:r>
        <w:rPr>
          <w:rFonts w:hint="eastAsia" w:ascii="方正楷体简体" w:hAnsi="方正楷体简体" w:eastAsia="方正楷体简体" w:cs="方正楷体简体"/>
          <w:i w:val="0"/>
          <w:iCs w:val="0"/>
          <w:caps w:val="0"/>
          <w:color w:val="000000"/>
          <w:spacing w:val="0"/>
          <w:sz w:val="32"/>
          <w:szCs w:val="32"/>
        </w:rPr>
        <w:t>三是对主动公开内容进行分类细化</w:t>
      </w:r>
      <w:r>
        <w:rPr>
          <w:rFonts w:hint="eastAsia" w:ascii="方正楷体简体" w:hAnsi="方正楷体简体" w:eastAsia="方正楷体简体" w:cs="方正楷体简体"/>
          <w:i w:val="0"/>
          <w:iCs w:val="0"/>
          <w:caps w:val="0"/>
          <w:color w:val="000000"/>
          <w:spacing w:val="0"/>
          <w:sz w:val="32"/>
          <w:szCs w:val="32"/>
          <w:lang w:eastAsia="zh-CN"/>
        </w:rPr>
        <w:t>。</w:t>
      </w:r>
      <w:r>
        <w:rPr>
          <w:rFonts w:hint="default" w:ascii="Times New Roman" w:hAnsi="Times New Roman" w:eastAsia="方正仿宋简体" w:cs="Times New Roman"/>
          <w:i w:val="0"/>
          <w:iCs w:val="0"/>
          <w:caps w:val="0"/>
          <w:color w:val="000000"/>
          <w:spacing w:val="0"/>
          <w:sz w:val="32"/>
          <w:szCs w:val="32"/>
        </w:rPr>
        <w:t>在公开的形式上，力戒形式主义，适应形势发展需要，积极推进电子政务建设，不断创新政务公开形式，达到信息透明、服务便捷和有利监督的目的。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黑体简体" w:hAnsi="方正黑体简体" w:eastAsia="方正黑体简体" w:cs="方正黑体简体"/>
          <w:i w:val="0"/>
          <w:iCs w:val="0"/>
          <w:caps w:val="0"/>
          <w:color w:val="000000"/>
          <w:spacing w:val="0"/>
          <w:sz w:val="32"/>
          <w:szCs w:val="32"/>
        </w:rPr>
      </w:pPr>
      <w:r>
        <w:rPr>
          <w:rFonts w:hint="eastAsia" w:ascii="方正黑体简体" w:hAnsi="方正黑体简体" w:eastAsia="方正黑体简体" w:cs="方正黑体简体"/>
          <w:i w:val="0"/>
          <w:iCs w:val="0"/>
          <w:caps w:val="0"/>
          <w:color w:val="000000"/>
          <w:spacing w:val="0"/>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（一）依据《政府信息公开信息处理费管理办法》收取信息处理费的情况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根据《政府信息公开信息处理费管理办法》规定，本年度本单位依申请公开政府信息未向申请人收取任何费用。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（二）本行政机关落实上级年度政务公开工作要点情况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曲阜市应急管理局认真贯彻落实本年度政务公开工作要点，对照市政府下发的《2022年曲阜市政务公开工作任务分解表的通知》，及时部署、明确重点、细化分工，聚焦应急管理、安全生产、防灾减灾公开等重点事项，持续推进公开制度化、规范化、日常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（三）本行政机关人大代表建议和政协提案办理结果公开情况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本年度未收到曲阜市人大代表建议和政协提案。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（四）本行政机本年度政务公开工作创新情况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本年度无政务公开工作创新情况。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（五）本行政机关政府信息公开工作年度报告数据统计需要说明的事项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本年度无需要说明的数据统计事项。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（六）本行政机关认为需要报告的其他事项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本年度无需要报告的其他事项。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（七）其他有关文件专门要求通过政府信息公开工作年度报告予以报告的事项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24"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i w:val="0"/>
          <w:iCs w:val="0"/>
          <w:caps w:val="0"/>
          <w:color w:val="000000"/>
          <w:spacing w:val="0"/>
          <w:sz w:val="32"/>
          <w:szCs w:val="32"/>
        </w:rPr>
        <w:t>无。</w:t>
      </w:r>
      <w:bookmarkStart w:id="0" w:name="_GoBack"/>
      <w:bookmarkEnd w:id="0"/>
    </w:p>
    <w:sectPr>
      <w:pgSz w:w="11906" w:h="16838"/>
      <w:pgMar w:top="2154" w:right="1304" w:bottom="170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embedRegular r:id="rId1" w:fontKey="{11336573-17DE-419A-B3BF-0A625EA2F03E}"/>
  </w:font>
  <w:font w:name="方正黑体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楷体简体">
    <w:panose1 w:val="02000000000000000000"/>
    <w:charset w:val="86"/>
    <w:family w:val="auto"/>
    <w:pitch w:val="default"/>
    <w:sig w:usb0="00000001" w:usb1="080E0000" w:usb2="00000000" w:usb3="00000000" w:csb0="00040000" w:csb1="00000000"/>
    <w:embedRegular r:id="rId2" w:fontKey="{0D3B5ECC-58AA-45F8-9962-EB881E4975ED}"/>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NWI1ZmUwZjMxZTFlNWFkYWNkMjAxZWU2MzAyZmUifQ=="/>
  </w:docVars>
  <w:rsids>
    <w:rsidRoot w:val="0B634AD4"/>
    <w:rsid w:val="03043147"/>
    <w:rsid w:val="03724869"/>
    <w:rsid w:val="05FB28F4"/>
    <w:rsid w:val="0874698D"/>
    <w:rsid w:val="088272FC"/>
    <w:rsid w:val="0A83110A"/>
    <w:rsid w:val="0B634AD4"/>
    <w:rsid w:val="0C8A677F"/>
    <w:rsid w:val="0F0E3698"/>
    <w:rsid w:val="126A43E5"/>
    <w:rsid w:val="13337B71"/>
    <w:rsid w:val="13BB61E1"/>
    <w:rsid w:val="16500A3A"/>
    <w:rsid w:val="1A02029D"/>
    <w:rsid w:val="1A862C7C"/>
    <w:rsid w:val="215F5FD5"/>
    <w:rsid w:val="278E13C2"/>
    <w:rsid w:val="29B13146"/>
    <w:rsid w:val="2AF404DD"/>
    <w:rsid w:val="2B40336E"/>
    <w:rsid w:val="2C8B4122"/>
    <w:rsid w:val="2D4F514F"/>
    <w:rsid w:val="2DAF5BEE"/>
    <w:rsid w:val="2DF301D1"/>
    <w:rsid w:val="32755658"/>
    <w:rsid w:val="36266C69"/>
    <w:rsid w:val="372B398F"/>
    <w:rsid w:val="3781684D"/>
    <w:rsid w:val="37ED7A3F"/>
    <w:rsid w:val="3AEC222F"/>
    <w:rsid w:val="42FE51F6"/>
    <w:rsid w:val="43010842"/>
    <w:rsid w:val="44427364"/>
    <w:rsid w:val="44865D11"/>
    <w:rsid w:val="45E83F3B"/>
    <w:rsid w:val="4703102D"/>
    <w:rsid w:val="47264D1B"/>
    <w:rsid w:val="490966A2"/>
    <w:rsid w:val="4911113C"/>
    <w:rsid w:val="4FDA2B47"/>
    <w:rsid w:val="514C1822"/>
    <w:rsid w:val="51F37EF0"/>
    <w:rsid w:val="52AA4A52"/>
    <w:rsid w:val="560C39D7"/>
    <w:rsid w:val="56BA722E"/>
    <w:rsid w:val="58A65CBC"/>
    <w:rsid w:val="58D520FD"/>
    <w:rsid w:val="5D023D26"/>
    <w:rsid w:val="60634492"/>
    <w:rsid w:val="63AA30D7"/>
    <w:rsid w:val="65F362B8"/>
    <w:rsid w:val="672229B1"/>
    <w:rsid w:val="69140A20"/>
    <w:rsid w:val="693C1A40"/>
    <w:rsid w:val="6C745C6B"/>
    <w:rsid w:val="73A330CC"/>
    <w:rsid w:val="758B3E18"/>
    <w:rsid w:val="76B455F0"/>
    <w:rsid w:val="76E00193"/>
    <w:rsid w:val="777D1E86"/>
    <w:rsid w:val="7B18439F"/>
    <w:rsid w:val="7C1C3A1B"/>
    <w:rsid w:val="7EC87E8B"/>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2984</Words>
  <Characters>3079</Characters>
  <Lines>0</Lines>
  <Paragraphs>0</Paragraphs>
  <TotalTime>57</TotalTime>
  <ScaleCrop>false</ScaleCrop>
  <LinksUpToDate>false</LinksUpToDate>
  <CharactersWithSpaces>3079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2023-01-19T02:10:00Z</dcterms:created>
  <dc:creator>WPS_1673244005</dc:creator>
  <cp:lastModifiedBy>WPS_1673244005</cp:lastModifiedBy>
  <dcterms:modified xsi:type="dcterms:W3CDTF">2023-02-06T02:16:33Z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82817D1DECC647F6B0013130B6FF283A</vt:lpwstr>
  </property>
</Properties>
</file>