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曲阜市审计局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w:t>
      </w:r>
    </w:p>
    <w:p>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曲阜市审计局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曲阜市审计局</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曲阜市舞雩坛路7号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4496133</w:t>
      </w:r>
      <w:r>
        <w:rPr>
          <w:rFonts w:hint="default" w:ascii="Times New Roman" w:hAnsi="Times New Roman" w:eastAsia="方正仿宋简体" w:cs="Times New Roman"/>
          <w:b/>
          <w:color w:val="000000"/>
          <w:sz w:val="32"/>
          <w:szCs w:val="32"/>
        </w:rPr>
        <w:t>）。</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年，曲阜市</w:t>
      </w:r>
      <w:r>
        <w:rPr>
          <w:rFonts w:hint="eastAsia" w:eastAsia="方正仿宋简体" w:cs="Times New Roman"/>
          <w:b/>
          <w:color w:val="000000"/>
          <w:sz w:val="32"/>
          <w:szCs w:val="32"/>
          <w:lang w:val="en-US" w:eastAsia="zh-CN"/>
        </w:rPr>
        <w:t>审计</w:t>
      </w:r>
      <w:r>
        <w:rPr>
          <w:rFonts w:hint="default" w:ascii="Times New Roman" w:hAnsi="Times New Roman" w:eastAsia="方正仿宋简体" w:cs="Times New Roman"/>
          <w:b/>
          <w:color w:val="000000"/>
          <w:sz w:val="32"/>
          <w:szCs w:val="32"/>
        </w:rPr>
        <w:t>局在市委、市政府的坚强领导下，严格执行《中华人民共和国政府信息公开条例》等有关规定和要求，以“推行透明政务，打造阳光政府”为目标，以维护人民群众的根本利益为出发点和落脚点，认真开展政府信息公开工作。</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96" w:rightChars="-50" w:firstLine="624" w:firstLineChars="200"/>
        <w:rPr>
          <w:rFonts w:hint="eastAsia" w:ascii="Times New Roman" w:hAnsi="Times New Roman" w:eastAsia="方正仿宋简体" w:cs="Times New Roman"/>
          <w:b/>
          <w:color w:val="000000"/>
          <w:kern w:val="0"/>
          <w:sz w:val="32"/>
          <w:szCs w:val="32"/>
          <w:lang w:val="en-US" w:eastAsia="zh-CN" w:bidi="ar"/>
        </w:rPr>
      </w:pPr>
      <w:r>
        <w:rPr>
          <w:rFonts w:hint="default" w:ascii="Times New Roman" w:hAnsi="Times New Roman" w:eastAsia="方正仿宋简体" w:cs="Times New Roman"/>
          <w:b/>
          <w:color w:val="000000"/>
          <w:kern w:val="0"/>
          <w:sz w:val="32"/>
          <w:szCs w:val="32"/>
          <w:lang w:val="en-US" w:eastAsia="zh-CN" w:bidi="ar"/>
        </w:rPr>
        <w:t>20</w:t>
      </w:r>
      <w:r>
        <w:rPr>
          <w:rFonts w:hint="eastAsia" w:ascii="Times New Roman" w:hAnsi="Times New Roman" w:eastAsia="方正仿宋简体" w:cs="Times New Roman"/>
          <w:b/>
          <w:color w:val="000000"/>
          <w:kern w:val="0"/>
          <w:sz w:val="32"/>
          <w:szCs w:val="32"/>
          <w:lang w:val="en-US" w:eastAsia="zh-CN" w:bidi="ar"/>
        </w:rPr>
        <w:t>23</w:t>
      </w:r>
      <w:r>
        <w:rPr>
          <w:rFonts w:hint="default" w:ascii="Times New Roman" w:hAnsi="Times New Roman" w:eastAsia="方正仿宋简体" w:cs="Times New Roman"/>
          <w:b/>
          <w:color w:val="000000"/>
          <w:kern w:val="0"/>
          <w:sz w:val="32"/>
          <w:szCs w:val="32"/>
          <w:lang w:val="en-US" w:eastAsia="zh-CN" w:bidi="ar"/>
        </w:rPr>
        <w:t>年，</w:t>
      </w:r>
      <w:r>
        <w:rPr>
          <w:rFonts w:hint="eastAsia" w:ascii="Times New Roman" w:hAnsi="Times New Roman" w:eastAsia="方正仿宋简体" w:cs="Times New Roman"/>
          <w:b/>
          <w:color w:val="000000"/>
          <w:kern w:val="0"/>
          <w:sz w:val="32"/>
          <w:szCs w:val="32"/>
          <w:lang w:val="en-US" w:eastAsia="zh-CN" w:bidi="ar"/>
        </w:rPr>
        <w:t>市审计局</w:t>
      </w:r>
      <w:r>
        <w:rPr>
          <w:rFonts w:hint="default" w:ascii="Times New Roman" w:hAnsi="Times New Roman" w:eastAsia="方正仿宋简体" w:cs="Times New Roman"/>
          <w:b/>
          <w:color w:val="000000"/>
          <w:kern w:val="0"/>
          <w:sz w:val="32"/>
          <w:szCs w:val="32"/>
          <w:lang w:val="en-US" w:eastAsia="zh-CN" w:bidi="ar"/>
        </w:rPr>
        <w:t>主动公开政府信息</w:t>
      </w:r>
      <w:r>
        <w:rPr>
          <w:rFonts w:hint="eastAsia" w:ascii="Times New Roman" w:hAnsi="Times New Roman" w:eastAsia="方正仿宋简体" w:cs="Times New Roman"/>
          <w:b/>
          <w:color w:val="000000"/>
          <w:kern w:val="0"/>
          <w:sz w:val="32"/>
          <w:szCs w:val="32"/>
          <w:lang w:val="en-US" w:eastAsia="zh-CN" w:bidi="ar"/>
        </w:rPr>
        <w:t>11</w:t>
      </w:r>
      <w:r>
        <w:rPr>
          <w:rFonts w:hint="default" w:ascii="Times New Roman" w:hAnsi="Times New Roman" w:eastAsia="方正仿宋简体" w:cs="Times New Roman"/>
          <w:b/>
          <w:color w:val="000000"/>
          <w:kern w:val="0"/>
          <w:sz w:val="32"/>
          <w:szCs w:val="32"/>
          <w:lang w:val="en-US" w:eastAsia="zh-CN" w:bidi="ar"/>
        </w:rPr>
        <w:t>件，其中</w:t>
      </w:r>
      <w:r>
        <w:rPr>
          <w:rFonts w:hint="eastAsia" w:ascii="Times New Roman" w:hAnsi="Times New Roman" w:eastAsia="方正仿宋简体" w:cs="Times New Roman"/>
          <w:b/>
          <w:color w:val="000000"/>
          <w:kern w:val="0"/>
          <w:sz w:val="32"/>
          <w:szCs w:val="32"/>
          <w:lang w:val="en-US" w:eastAsia="zh-CN" w:bidi="ar"/>
        </w:rPr>
        <w:t>：</w:t>
      </w:r>
      <w:r>
        <w:rPr>
          <w:rFonts w:hint="default" w:ascii="Times New Roman" w:hAnsi="Times New Roman" w:eastAsia="方正仿宋简体" w:cs="Times New Roman"/>
          <w:b/>
          <w:color w:val="000000"/>
          <w:kern w:val="0"/>
          <w:sz w:val="32"/>
          <w:szCs w:val="32"/>
          <w:lang w:val="en-US" w:eastAsia="zh-CN" w:bidi="ar"/>
        </w:rPr>
        <w:t>机构职能</w:t>
      </w:r>
      <w:r>
        <w:rPr>
          <w:rFonts w:hint="eastAsia" w:ascii="Times New Roman" w:hAnsi="Times New Roman" w:eastAsia="方正仿宋简体" w:cs="Times New Roman"/>
          <w:b/>
          <w:color w:val="000000"/>
          <w:kern w:val="0"/>
          <w:sz w:val="32"/>
          <w:szCs w:val="32"/>
          <w:lang w:val="en-US" w:eastAsia="zh-CN" w:bidi="ar"/>
        </w:rPr>
        <w:t>4</w:t>
      </w:r>
      <w:r>
        <w:rPr>
          <w:rFonts w:hint="default" w:ascii="Times New Roman" w:hAnsi="Times New Roman" w:eastAsia="方正仿宋简体" w:cs="Times New Roman"/>
          <w:b/>
          <w:color w:val="000000"/>
          <w:kern w:val="0"/>
          <w:sz w:val="32"/>
          <w:szCs w:val="32"/>
          <w:lang w:val="en-US" w:eastAsia="zh-CN" w:bidi="ar"/>
        </w:rPr>
        <w:t>件</w:t>
      </w:r>
      <w:r>
        <w:rPr>
          <w:rFonts w:hint="eastAsia" w:ascii="Times New Roman" w:hAnsi="Times New Roman" w:eastAsia="方正仿宋简体" w:cs="Times New Roman"/>
          <w:b/>
          <w:color w:val="000000"/>
          <w:kern w:val="0"/>
          <w:sz w:val="32"/>
          <w:szCs w:val="32"/>
          <w:lang w:val="en-US" w:eastAsia="zh-CN" w:bidi="ar"/>
        </w:rPr>
        <w:t>（其中，领导信息1件，基本信息1件，主要职责1件，内设机构1件）</w:t>
      </w:r>
      <w:r>
        <w:rPr>
          <w:rFonts w:hint="default" w:ascii="Times New Roman" w:hAnsi="Times New Roman" w:eastAsia="方正仿宋简体" w:cs="Times New Roman"/>
          <w:b/>
          <w:color w:val="000000"/>
          <w:kern w:val="0"/>
          <w:sz w:val="32"/>
          <w:szCs w:val="32"/>
          <w:lang w:val="en-US" w:eastAsia="zh-CN" w:bidi="ar"/>
        </w:rPr>
        <w:t>，</w:t>
      </w:r>
      <w:r>
        <w:rPr>
          <w:rFonts w:hint="eastAsia" w:ascii="Times New Roman" w:hAnsi="Times New Roman" w:eastAsia="方正仿宋简体" w:cs="Times New Roman"/>
          <w:b/>
          <w:color w:val="000000"/>
          <w:kern w:val="0"/>
          <w:sz w:val="32"/>
          <w:szCs w:val="32"/>
          <w:lang w:val="en-US" w:eastAsia="zh-CN" w:bidi="ar"/>
        </w:rPr>
        <w:t>财政信息2件（其中，预算信息1件，决算信息1件），</w:t>
      </w:r>
      <w:r>
        <w:rPr>
          <w:rFonts w:hint="default" w:ascii="Times New Roman" w:hAnsi="Times New Roman" w:eastAsia="方正仿宋简体" w:cs="Times New Roman"/>
          <w:b/>
          <w:color w:val="000000"/>
          <w:kern w:val="0"/>
          <w:sz w:val="32"/>
          <w:szCs w:val="32"/>
          <w:lang w:val="en-US" w:eastAsia="zh-CN" w:bidi="ar"/>
        </w:rPr>
        <w:t>主动公开基本目录1件</w:t>
      </w:r>
      <w:r>
        <w:rPr>
          <w:rFonts w:hint="eastAsia" w:ascii="Times New Roman" w:hAnsi="Times New Roman" w:eastAsia="方正仿宋简体" w:cs="Times New Roman"/>
          <w:b/>
          <w:color w:val="000000"/>
          <w:kern w:val="0"/>
          <w:sz w:val="32"/>
          <w:szCs w:val="32"/>
          <w:lang w:val="en-US" w:eastAsia="zh-CN" w:bidi="ar"/>
        </w:rPr>
        <w:t>，审计信息2件（其中，审计工作报告1件，审计整改报告1件），规范性文件2件（规范性文件意见征集及采纳2件）</w:t>
      </w:r>
      <w:r>
        <w:rPr>
          <w:rFonts w:hint="default" w:ascii="Times New Roman" w:hAnsi="Times New Roman" w:eastAsia="方正仿宋简体" w:cs="Times New Roman"/>
          <w:b/>
          <w:color w:val="000000"/>
          <w:kern w:val="0"/>
          <w:sz w:val="32"/>
          <w:szCs w:val="32"/>
          <w:lang w:val="en-US" w:eastAsia="zh-CN" w:bidi="ar"/>
        </w:rPr>
        <w:t>。以上信息均通过曲阜市人民政府政务公开网站（</w:t>
      </w:r>
      <w:r>
        <w:rPr>
          <w:rFonts w:hint="default" w:ascii="Times New Roman" w:hAnsi="Times New Roman" w:eastAsia="宋体" w:cs="Times New Roman"/>
          <w:b/>
          <w:color w:val="000000"/>
          <w:kern w:val="0"/>
          <w:sz w:val="31"/>
          <w:szCs w:val="31"/>
          <w:lang w:val="en-US" w:eastAsia="zh-CN" w:bidi="ar"/>
        </w:rPr>
        <w:t>www.qufu.gov.cn</w:t>
      </w:r>
      <w:r>
        <w:rPr>
          <w:rFonts w:hint="eastAsia" w:ascii="Times New Roman" w:hAnsi="Times New Roman" w:eastAsia="方正仿宋简体" w:cs="Times New Roman"/>
          <w:b/>
          <w:color w:val="000000"/>
          <w:kern w:val="0"/>
          <w:sz w:val="32"/>
          <w:szCs w:val="32"/>
          <w:lang w:val="en-US" w:eastAsia="zh-CN" w:bidi="ar"/>
        </w:rPr>
        <w:fldChar w:fldCharType="begin"/>
      </w:r>
      <w:r>
        <w:rPr>
          <w:rFonts w:hint="eastAsia" w:ascii="Times New Roman" w:hAnsi="Times New Roman" w:eastAsia="方正仿宋简体" w:cs="Times New Roman"/>
          <w:b/>
          <w:color w:val="000000"/>
          <w:kern w:val="0"/>
          <w:sz w:val="32"/>
          <w:szCs w:val="32"/>
          <w:lang w:val="en-US" w:eastAsia="zh-CN" w:bidi="ar"/>
        </w:rPr>
        <w:instrText xml:space="preserve"> HYPERLINK "http://www.qufu.gov.cn/module/xxgk/xxgkAnnualReport.jsp?fbtime=2019&amp;area=12370881688263262L" </w:instrText>
      </w:r>
      <w:r>
        <w:rPr>
          <w:rFonts w:hint="eastAsia" w:ascii="Times New Roman" w:hAnsi="Times New Roman" w:eastAsia="方正仿宋简体" w:cs="Times New Roman"/>
          <w:b/>
          <w:color w:val="000000"/>
          <w:kern w:val="0"/>
          <w:sz w:val="32"/>
          <w:szCs w:val="32"/>
          <w:lang w:val="en-US" w:eastAsia="zh-CN" w:bidi="ar"/>
        </w:rPr>
        <w:fldChar w:fldCharType="separate"/>
      </w:r>
      <w:r>
        <w:rPr>
          <w:rFonts w:hint="eastAsia" w:ascii="Times New Roman" w:hAnsi="Times New Roman" w:eastAsia="方正仿宋简体" w:cs="Times New Roman"/>
          <w:b/>
          <w:color w:val="000000"/>
          <w:kern w:val="0"/>
          <w:sz w:val="32"/>
          <w:szCs w:val="32"/>
          <w:lang w:val="en-US" w:eastAsia="zh-CN" w:bidi="ar"/>
        </w:rPr>
        <w:fldChar w:fldCharType="end"/>
      </w:r>
      <w:r>
        <w:rPr>
          <w:rFonts w:hint="eastAsia" w:ascii="Times New Roman" w:hAnsi="Times New Roman" w:eastAsia="方正仿宋简体" w:cs="Times New Roman"/>
          <w:b/>
          <w:color w:val="000000"/>
          <w:kern w:val="0"/>
          <w:sz w:val="32"/>
          <w:szCs w:val="32"/>
          <w:lang w:val="en-US" w:eastAsia="zh-CN" w:bidi="ar"/>
        </w:rPr>
        <w:t>）政务公开栏目予以公开。</w:t>
      </w:r>
    </w:p>
    <w:p>
      <w:pPr>
        <w:spacing w:line="590" w:lineRule="exact"/>
        <w:ind w:right="-96" w:rightChars="-50" w:firstLine="624" w:firstLineChars="200"/>
        <w:rPr>
          <w:rFonts w:hint="eastAsia" w:ascii="Times New Roman" w:hAnsi="Times New Roman" w:eastAsia="方正仿宋简体" w:cs="Times New Roman"/>
          <w:b/>
          <w:color w:val="000000"/>
          <w:kern w:val="0"/>
          <w:sz w:val="32"/>
          <w:szCs w:val="32"/>
          <w:lang w:val="en-US" w:eastAsia="zh-CN" w:bidi="ar"/>
        </w:rPr>
      </w:pPr>
      <w:r>
        <w:rPr>
          <w:rFonts w:hint="eastAsia" w:ascii="Times New Roman" w:hAnsi="Times New Roman" w:eastAsia="方正仿宋简体" w:cs="Times New Roman"/>
          <w:b/>
          <w:color w:val="000000"/>
          <w:kern w:val="0"/>
          <w:sz w:val="32"/>
          <w:szCs w:val="32"/>
          <w:lang w:val="en-US" w:eastAsia="zh-CN" w:bidi="ar"/>
        </w:rPr>
        <w:drawing>
          <wp:anchor distT="0" distB="0" distL="114300" distR="114300" simplePos="0" relativeHeight="251659264" behindDoc="0" locked="0" layoutInCell="1" allowOverlap="1">
            <wp:simplePos x="0" y="0"/>
            <wp:positionH relativeFrom="column">
              <wp:posOffset>236220</wp:posOffset>
            </wp:positionH>
            <wp:positionV relativeFrom="paragraph">
              <wp:posOffset>240665</wp:posOffset>
            </wp:positionV>
            <wp:extent cx="5154930" cy="2220595"/>
            <wp:effectExtent l="4445" t="4445" r="9525" b="1016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pacing w:line="590" w:lineRule="exact"/>
        <w:ind w:right="-96" w:rightChars="-50" w:firstLine="624" w:firstLineChars="200"/>
        <w:rPr>
          <w:rFonts w:hint="eastAsia" w:ascii="Times New Roman" w:hAnsi="Times New Roman" w:eastAsia="方正仿宋简体" w:cs="Times New Roman"/>
          <w:b/>
          <w:color w:val="000000"/>
          <w:kern w:val="0"/>
          <w:sz w:val="32"/>
          <w:szCs w:val="32"/>
          <w:lang w:val="en-US" w:eastAsia="zh-CN" w:bidi="ar"/>
        </w:rPr>
      </w:pPr>
    </w:p>
    <w:p>
      <w:pPr>
        <w:spacing w:line="590" w:lineRule="exact"/>
        <w:ind w:right="-96" w:rightChars="-50" w:firstLine="624" w:firstLineChars="200"/>
        <w:rPr>
          <w:rFonts w:hint="eastAsia" w:ascii="Times New Roman" w:hAnsi="Times New Roman" w:eastAsia="方正仿宋简体" w:cs="Times New Roman"/>
          <w:b/>
          <w:color w:val="000000"/>
          <w:kern w:val="0"/>
          <w:sz w:val="32"/>
          <w:szCs w:val="32"/>
          <w:lang w:val="en-US" w:eastAsia="zh-CN" w:bidi="ar"/>
        </w:rPr>
      </w:pPr>
    </w:p>
    <w:p>
      <w:pPr>
        <w:spacing w:line="590" w:lineRule="exact"/>
        <w:ind w:right="-96" w:rightChars="-50" w:firstLine="624" w:firstLineChars="200"/>
        <w:rPr>
          <w:rFonts w:hint="eastAsia" w:ascii="Times New Roman" w:hAnsi="Times New Roman" w:eastAsia="方正仿宋简体" w:cs="Times New Roman"/>
          <w:b/>
          <w:color w:val="000000"/>
          <w:kern w:val="0"/>
          <w:sz w:val="32"/>
          <w:szCs w:val="32"/>
          <w:lang w:val="en-US" w:eastAsia="zh-CN" w:bidi="ar"/>
        </w:rPr>
      </w:pPr>
    </w:p>
    <w:p>
      <w:pPr>
        <w:spacing w:line="590" w:lineRule="exact"/>
        <w:ind w:right="-96" w:rightChars="-50" w:firstLine="624" w:firstLineChars="200"/>
        <w:rPr>
          <w:rFonts w:hint="eastAsia" w:ascii="Times New Roman" w:hAnsi="Times New Roman" w:eastAsia="方正仿宋简体" w:cs="Times New Roman"/>
          <w:b/>
          <w:color w:val="000000"/>
          <w:kern w:val="0"/>
          <w:sz w:val="32"/>
          <w:szCs w:val="32"/>
          <w:lang w:val="en-US" w:eastAsia="zh-CN" w:bidi="ar"/>
        </w:rPr>
      </w:pPr>
    </w:p>
    <w:p>
      <w:pPr>
        <w:spacing w:line="590" w:lineRule="exact"/>
        <w:ind w:right="-96" w:rightChars="-50" w:firstLine="624" w:firstLineChars="200"/>
        <w:rPr>
          <w:rFonts w:hint="eastAsia" w:ascii="Times New Roman" w:hAnsi="Times New Roman" w:eastAsia="方正仿宋简体" w:cs="Times New Roman"/>
          <w:b/>
          <w:color w:val="000000"/>
          <w:kern w:val="0"/>
          <w:sz w:val="32"/>
          <w:szCs w:val="32"/>
          <w:lang w:val="en-US" w:eastAsia="zh-CN" w:bidi="ar"/>
        </w:rPr>
      </w:pPr>
    </w:p>
    <w:p>
      <w:pPr>
        <w:spacing w:line="590" w:lineRule="exact"/>
        <w:ind w:right="-96" w:rightChars="-50" w:firstLine="624" w:firstLineChars="200"/>
        <w:rPr>
          <w:rFonts w:hint="eastAsia" w:ascii="Times New Roman" w:hAnsi="Times New Roman" w:eastAsia="方正仿宋简体" w:cs="Times New Roman"/>
          <w:b/>
          <w:color w:val="000000"/>
          <w:kern w:val="0"/>
          <w:sz w:val="32"/>
          <w:szCs w:val="32"/>
          <w:lang w:val="en-US" w:eastAsia="zh-CN" w:bidi="ar"/>
        </w:rPr>
      </w:pP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highlight w:val="none"/>
        </w:rPr>
        <w:t>（二）</w:t>
      </w:r>
      <w:r>
        <w:rPr>
          <w:rFonts w:hint="default" w:ascii="Times New Roman" w:hAnsi="Times New Roman" w:eastAsia="方正楷体简体" w:cs="Times New Roman"/>
          <w:b/>
          <w:color w:val="000000"/>
          <w:sz w:val="32"/>
          <w:szCs w:val="32"/>
        </w:rPr>
        <w:t>依申请公开情况</w:t>
      </w:r>
    </w:p>
    <w:p>
      <w:pPr>
        <w:spacing w:line="590" w:lineRule="exact"/>
        <w:ind w:right="-96" w:rightChars="-50" w:firstLine="624" w:firstLineChars="200"/>
        <w:rPr>
          <w:rFonts w:hint="eastAsia" w:ascii="Times New Roman" w:hAnsi="Times New Roman" w:eastAsia="方正仿宋简体" w:cs="Times New Roman"/>
          <w:b/>
          <w:color w:val="000000"/>
          <w:kern w:val="0"/>
          <w:sz w:val="32"/>
          <w:szCs w:val="32"/>
          <w:lang w:val="en-US" w:eastAsia="zh-CN" w:bidi="ar"/>
        </w:rPr>
      </w:pPr>
      <w:r>
        <w:rPr>
          <w:rFonts w:hint="eastAsia" w:ascii="Times New Roman" w:hAnsi="Times New Roman" w:eastAsia="方正仿宋简体" w:cs="Times New Roman"/>
          <w:b/>
          <w:color w:val="000000"/>
          <w:kern w:val="0"/>
          <w:sz w:val="32"/>
          <w:szCs w:val="32"/>
          <w:lang w:val="en-US" w:eastAsia="zh-CN" w:bidi="ar"/>
        </w:rPr>
        <w:t>2023年度，市审计局未收到政府公开申请，市审计局不涉及收费项目，审计局未收到以政府信息公开为由提起的行政复议和行政诉讼。</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highlight w:val="none"/>
        </w:rPr>
        <w:t>（三）政</w:t>
      </w:r>
      <w:r>
        <w:rPr>
          <w:rFonts w:hint="default" w:ascii="Times New Roman" w:hAnsi="Times New Roman" w:eastAsia="方正楷体简体" w:cs="Times New Roman"/>
          <w:b/>
          <w:color w:val="000000"/>
          <w:sz w:val="32"/>
          <w:szCs w:val="32"/>
        </w:rPr>
        <w:t>府信息管理情况</w:t>
      </w:r>
    </w:p>
    <w:p>
      <w:pPr>
        <w:spacing w:line="590" w:lineRule="exact"/>
        <w:ind w:right="-96" w:rightChars="-50" w:firstLine="624" w:firstLineChars="200"/>
        <w:rPr>
          <w:rFonts w:hint="eastAsia" w:eastAsia="方正仿宋简体" w:cs="Times New Roman"/>
          <w:b/>
          <w:color w:val="000000"/>
          <w:sz w:val="32"/>
          <w:szCs w:val="32"/>
          <w:lang w:eastAsia="zh-CN"/>
        </w:rPr>
      </w:pPr>
      <w:r>
        <w:rPr>
          <w:rFonts w:hint="eastAsia" w:eastAsia="方正仿宋简体" w:cs="Times New Roman"/>
          <w:b/>
          <w:color w:val="000000"/>
          <w:sz w:val="32"/>
          <w:szCs w:val="32"/>
          <w:lang w:eastAsia="zh-CN"/>
        </w:rPr>
        <w:t>市审计局严格执行“分级审核、先审后发”的信息发布程序，落实三审制，明确审核流程，严把政治关、政策关、保密关、文字关，确保信息发布准确、安全、高效。</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highlight w:val="none"/>
        </w:rPr>
        <w:t>（四）政</w:t>
      </w:r>
      <w:r>
        <w:rPr>
          <w:rFonts w:hint="default" w:ascii="Times New Roman" w:hAnsi="Times New Roman" w:eastAsia="方正楷体简体" w:cs="Times New Roman"/>
          <w:b/>
          <w:color w:val="000000"/>
          <w:sz w:val="32"/>
          <w:szCs w:val="32"/>
        </w:rPr>
        <w:t>府信息公开平台建设情况</w:t>
      </w:r>
    </w:p>
    <w:p>
      <w:pPr>
        <w:keepNext w:val="0"/>
        <w:keepLines w:val="0"/>
        <w:pageBreakBefore w:val="0"/>
        <w:kinsoku/>
        <w:wordWrap/>
        <w:overflowPunct/>
        <w:topLinePunct w:val="0"/>
        <w:autoSpaceDE/>
        <w:autoSpaceDN/>
        <w:bidi w:val="0"/>
        <w:spacing w:line="560" w:lineRule="exact"/>
        <w:ind w:firstLine="624" w:firstLineChars="200"/>
        <w:textAlignment w:val="auto"/>
        <w:rPr>
          <w:rFonts w:hint="eastAsia" w:ascii="Times New Roman" w:hAnsi="Times New Roman" w:eastAsia="方正仿宋简体" w:cs="Times New Roman"/>
          <w:b/>
          <w:color w:val="000000"/>
          <w:kern w:val="0"/>
          <w:sz w:val="32"/>
          <w:szCs w:val="32"/>
          <w:lang w:val="en-US" w:eastAsia="zh-CN" w:bidi="ar"/>
        </w:rPr>
      </w:pPr>
      <w:r>
        <w:rPr>
          <w:rFonts w:hint="eastAsia" w:ascii="Times New Roman" w:hAnsi="Times New Roman" w:eastAsia="方正仿宋简体" w:cs="Times New Roman"/>
          <w:b/>
          <w:color w:val="000000"/>
          <w:kern w:val="0"/>
          <w:sz w:val="32"/>
          <w:szCs w:val="32"/>
          <w:lang w:val="en-US" w:eastAsia="zh-CN" w:bidi="ar"/>
        </w:rPr>
        <w:t>曲阜市审计局认真落实《中华人民共和国政府信息公开条例》等规定。严格按照市政务公开建设标准与要求，及时更新发布信息，以政务公开为抓手全力做好审计领域各项工作。</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highlight w:val="none"/>
        </w:rPr>
        <w:t>（五）</w:t>
      </w:r>
      <w:r>
        <w:rPr>
          <w:rFonts w:hint="default" w:ascii="Times New Roman" w:hAnsi="Times New Roman" w:eastAsia="方正楷体简体" w:cs="Times New Roman"/>
          <w:b/>
          <w:color w:val="000000"/>
          <w:sz w:val="32"/>
          <w:szCs w:val="32"/>
        </w:rPr>
        <w:t>监督保障情况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val="en-US" w:eastAsia="zh-CN"/>
        </w:rPr>
        <w:t>市审计局</w:t>
      </w:r>
      <w:r>
        <w:rPr>
          <w:rFonts w:hint="eastAsia" w:ascii="Times New Roman" w:hAnsi="Times New Roman" w:eastAsia="方正仿宋简体" w:cs="Times New Roman"/>
          <w:b/>
          <w:color w:val="000000"/>
          <w:sz w:val="32"/>
          <w:szCs w:val="32"/>
        </w:rPr>
        <w:t>坚持政务公开工作依法依规、合法公开，成立了政府信息公开工作领导小组，由局长任组长，各分管领导任副组长，科室负责人为成员，局办公室安排专人负责政务公开的日常事务。切实保障政务公开工作的顺利开展。</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bl>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57" w:leftChars="-30" w:right="-122"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both"/>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both"/>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both"/>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192"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both"/>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both"/>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both"/>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both"/>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both"/>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both"/>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36" w:leftChars="-71" w:right="-155"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36" w:leftChars="-71" w:right="-155"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39" w:leftChars="-21" w:right="-120"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4" w:leftChars="-39" w:right="-88"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07" w:leftChars="-56" w:right="-107"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07" w:leftChars="-56" w:right="-107"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96" w:leftChars="-50" w:right="-115"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78" w:leftChars="-41" w:right="-80"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5" w:leftChars="-60" w:right="-124"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15" w:leftChars="-60" w:right="-124"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49" w:leftChars="-78" w:right="-140"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49" w:leftChars="-78" w:right="-140"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0" w:leftChars="-47" w:right="-71"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4" w:leftChars="-65" w:right="-113"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24" w:leftChars="-65" w:right="-113"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8" w:leftChars="-83" w:right="-122"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58" w:leftChars="-83" w:right="-122"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1" w:leftChars="-33" w:right="-96"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r>
    </w:tbl>
    <w:p>
      <w:pPr>
        <w:spacing w:line="590" w:lineRule="exact"/>
        <w:ind w:right="-96" w:rightChars="-5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90" w:lineRule="atLeast"/>
        <w:ind w:firstLine="624" w:firstLineChars="200"/>
        <w:jc w:val="both"/>
        <w:textAlignment w:val="auto"/>
        <w:rPr>
          <w:rFonts w:hint="default"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我局政务公开工作还存在信息公开内容不够丰富、少数栏目内容更新不及时、公开不够及时等不足之处，有待进一步提高和完善。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90" w:lineRule="atLeast"/>
        <w:ind w:firstLine="624" w:firstLineChars="200"/>
        <w:jc w:val="both"/>
        <w:textAlignment w:val="auto"/>
        <w:rPr>
          <w:rFonts w:hint="default"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针对以上问题，我们将主要通过以下措施进行改进：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atLeast"/>
        <w:ind w:right="0" w:firstLine="624" w:firstLineChars="200"/>
        <w:textAlignment w:val="auto"/>
        <w:rPr>
          <w:rFonts w:hint="eastAsia"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一是加强组织领导，健全工作机制。明确单位主要领导是第一责任人。及时制订周密细致工作方案，明确深化政务公开的工作部署和要求。加强工作协调，及时发现和解决政务公开工作中存在问题。力争做到信息公开及时准确，公开内容合法有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atLeast"/>
        <w:ind w:right="0" w:firstLine="624"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kern w:val="0"/>
          <w:sz w:val="32"/>
          <w:szCs w:val="32"/>
          <w:lang w:val="en-US" w:eastAsia="zh-CN" w:bidi="ar-SA"/>
        </w:rPr>
        <w:t>二是进一步规范管理，加强检查。不断完善细化政务信息公开目录和内容，增强政务信息公开工作的针对性，增强服务意识。</w:t>
      </w: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（一）依据《政府信息公开信息处理费管理办法》收取信息处理费的情况</w:t>
      </w:r>
    </w:p>
    <w:p>
      <w:pPr>
        <w:spacing w:line="590" w:lineRule="exact"/>
        <w:ind w:right="-96" w:rightChars="-50" w:firstLine="624" w:firstLineChars="200"/>
        <w:rPr>
          <w:rFonts w:hint="eastAsia"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本年度</w:t>
      </w:r>
      <w:r>
        <w:rPr>
          <w:rFonts w:hint="eastAsia" w:eastAsia="方正仿宋简体" w:cs="Times New Roman"/>
          <w:b/>
          <w:kern w:val="0"/>
          <w:sz w:val="32"/>
          <w:szCs w:val="32"/>
          <w:lang w:val="en-US" w:eastAsia="zh-CN" w:bidi="ar-SA"/>
        </w:rPr>
        <w:t>市审计局</w:t>
      </w:r>
      <w:r>
        <w:rPr>
          <w:rFonts w:hint="eastAsia" w:ascii="Times New Roman" w:hAnsi="Times New Roman" w:eastAsia="方正仿宋简体" w:cs="Times New Roman"/>
          <w:b/>
          <w:kern w:val="0"/>
          <w:sz w:val="32"/>
          <w:szCs w:val="32"/>
          <w:lang w:val="en-US" w:eastAsia="zh-CN" w:bidi="ar-SA"/>
        </w:rPr>
        <w:t>未收到政府公开申请，不存在收取信息处理费的情况。</w:t>
      </w:r>
    </w:p>
    <w:p>
      <w:pPr>
        <w:numPr>
          <w:ilvl w:val="0"/>
          <w:numId w:val="1"/>
        </w:numPr>
        <w:spacing w:line="590" w:lineRule="exact"/>
        <w:ind w:right="-96" w:rightChars="-50" w:firstLine="624"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落实上级年度政务公开工作要点情况</w:t>
      </w:r>
    </w:p>
    <w:p>
      <w:pPr>
        <w:numPr>
          <w:ilvl w:val="0"/>
          <w:numId w:val="0"/>
        </w:num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本年度，曲阜市审计局根据国家、省、市关于2023年政务公开工作要点相关文件要求，坚持以习近平新时代中国特色社会主义思想为指导，加快转变政务公开职能，深化政务公开，更好发挥以公开促落实、强监督职能，扎实推进政务公开工作。</w:t>
      </w:r>
    </w:p>
    <w:p>
      <w:pPr>
        <w:numPr>
          <w:ilvl w:val="0"/>
          <w:numId w:val="1"/>
        </w:numPr>
        <w:spacing w:line="590" w:lineRule="exact"/>
        <w:ind w:left="0" w:leftChars="0" w:right="-96" w:rightChars="-50" w:firstLine="624"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人大代表建议和政协提案办理结果公开情况</w:t>
      </w:r>
    </w:p>
    <w:p>
      <w:pPr>
        <w:numPr>
          <w:ilvl w:val="0"/>
          <w:numId w:val="0"/>
        </w:numPr>
        <w:tabs>
          <w:tab w:val="left" w:pos="840"/>
        </w:tabs>
        <w:spacing w:line="590" w:lineRule="exact"/>
        <w:ind w:leftChars="200" w:right="-96" w:rightChars="-50" w:firstLine="312" w:firstLineChars="100"/>
        <w:rPr>
          <w:rFonts w:hint="eastAsia" w:ascii="Times New Roman" w:hAnsi="Times New Roman" w:eastAsia="方正仿宋简体" w:cs="Times New Roman"/>
          <w:b/>
          <w:kern w:val="0"/>
          <w:sz w:val="32"/>
          <w:szCs w:val="32"/>
          <w:lang w:val="en-US" w:eastAsia="zh-CN" w:bidi="ar-SA"/>
        </w:rPr>
      </w:pPr>
      <w:r>
        <w:rPr>
          <w:rFonts w:hint="eastAsia" w:eastAsia="方正仿宋简体" w:cs="Times New Roman"/>
          <w:b/>
          <w:sz w:val="32"/>
          <w:szCs w:val="32"/>
          <w:lang w:val="en-US" w:eastAsia="zh-CN"/>
        </w:rPr>
        <w:tab/>
      </w:r>
      <w:r>
        <w:rPr>
          <w:rFonts w:hint="eastAsia" w:eastAsia="方正仿宋简体" w:cs="Times New Roman"/>
          <w:b/>
          <w:sz w:val="32"/>
          <w:szCs w:val="32"/>
          <w:lang w:val="en-US" w:eastAsia="zh-CN"/>
        </w:rPr>
        <w:t>无</w:t>
      </w:r>
    </w:p>
    <w:p>
      <w:pPr>
        <w:numPr>
          <w:ilvl w:val="0"/>
          <w:numId w:val="1"/>
        </w:num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本行政机关年度政务公开工作创新情况；</w:t>
      </w:r>
    </w:p>
    <w:p>
      <w:pPr>
        <w:numPr>
          <w:ilvl w:val="0"/>
          <w:numId w:val="0"/>
        </w:numPr>
        <w:spacing w:line="590" w:lineRule="exact"/>
        <w:ind w:right="-96" w:rightChars="-50" w:firstLine="624"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无</w:t>
      </w:r>
    </w:p>
    <w:p>
      <w:pPr>
        <w:numPr>
          <w:ilvl w:val="0"/>
          <w:numId w:val="1"/>
        </w:numPr>
        <w:spacing w:line="590" w:lineRule="exact"/>
        <w:ind w:left="0" w:leftChars="0"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本行政机关认为需要报告的其他事项；</w:t>
      </w:r>
    </w:p>
    <w:p>
      <w:pPr>
        <w:numPr>
          <w:ilvl w:val="0"/>
          <w:numId w:val="0"/>
        </w:numPr>
        <w:spacing w:line="590" w:lineRule="exact"/>
        <w:ind w:leftChars="200" w:right="-96" w:rightChars="-50" w:firstLine="312" w:firstLineChars="100"/>
        <w:rPr>
          <w:rFonts w:hint="eastAsia"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无</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六</w:t>
      </w:r>
      <w:bookmarkStart w:id="10" w:name="_GoBack"/>
      <w:bookmarkEnd w:id="10"/>
      <w:r>
        <w:rPr>
          <w:rFonts w:hint="default" w:ascii="Times New Roman" w:hAnsi="Times New Roman" w:eastAsia="方正仿宋简体" w:cs="Times New Roman"/>
          <w:b/>
          <w:sz w:val="32"/>
          <w:szCs w:val="32"/>
        </w:rPr>
        <w:t>）其他有关文件专门要求通过政府信息公开工作年度报告予以报告的事项。</w:t>
      </w:r>
    </w:p>
    <w:p>
      <w:pPr>
        <w:spacing w:line="590" w:lineRule="exact"/>
        <w:ind w:right="-96" w:rightChars="-50" w:firstLine="624" w:firstLineChars="200"/>
        <w:rPr>
          <w:rFonts w:hint="eastAsia" w:ascii="Times New Roman" w:hAnsi="Times New Roman"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无</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sectPr>
          <w:pgSz w:w="11906" w:h="16838"/>
          <w:pgMar w:top="1191" w:right="1588" w:bottom="1191" w:left="1588" w:header="851" w:footer="1559" w:gutter="0"/>
          <w:pgNumType w:fmt="numberInDash"/>
          <w:cols w:space="425" w:num="1"/>
          <w:titlePg/>
          <w:docGrid w:type="linesAndChars" w:linePitch="628" w:charSpace="-1683"/>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黑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D7E77"/>
    <w:multiLevelType w:val="singleLevel"/>
    <w:tmpl w:val="25ED7E7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655157B1"/>
    <w:rsid w:val="0E5E7B58"/>
    <w:rsid w:val="24E262EA"/>
    <w:rsid w:val="342F4D56"/>
    <w:rsid w:val="55977B36"/>
    <w:rsid w:val="5D7B64BE"/>
    <w:rsid w:val="655157B1"/>
    <w:rsid w:val="71B45E73"/>
    <w:rsid w:val="7B6951D9"/>
    <w:rsid w:val="7CFA3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主动公开情况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Sheet1!$A$2:$A$6</c:f>
              <c:strCache>
                <c:ptCount val="5"/>
                <c:pt idx="0">
                  <c:v>机构职能</c:v>
                </c:pt>
                <c:pt idx="1">
                  <c:v>财政信息</c:v>
                </c:pt>
                <c:pt idx="2">
                  <c:v>主动公开基本目录</c:v>
                </c:pt>
                <c:pt idx="3">
                  <c:v>审计信息</c:v>
                </c:pt>
                <c:pt idx="4">
                  <c:v>规范性文件</c:v>
                </c:pt>
              </c:strCache>
            </c:strRef>
          </c:cat>
          <c:val>
            <c:numRef>
              <c:f>Sheet1!$B$2:$B$6</c:f>
              <c:numCache>
                <c:formatCode>General</c:formatCode>
                <c:ptCount val="5"/>
                <c:pt idx="0">
                  <c:v>4</c:v>
                </c:pt>
                <c:pt idx="1">
                  <c:v>2</c:v>
                </c:pt>
                <c:pt idx="2">
                  <c:v>1</c:v>
                </c:pt>
                <c:pt idx="3">
                  <c:v>2</c:v>
                </c:pt>
                <c:pt idx="4">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2024-01-19T01:35:00Z</dcterms:created>
  <dc:creator>WPS_1633764793</dc:creator>
  <cp:lastModifiedBy>Jade</cp:lastModifiedBy>
  <cp:lastPrinted>2024-01-26T05:44:00Z</cp:lastPrinted>
  <dcterms:modified xsi:type="dcterms:W3CDTF">2024-02-23T06:49:13Z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D7FA6C6B87F54BB3AD0E94D29F5FDF2E_11</vt:lpwstr>
  </property>
</Properties>
</file>