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Style w:val="5"/>
          <w:b/>
          <w:bCs/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曲阜市自然资源和规划局202</w:t>
      </w:r>
      <w:r>
        <w:rPr>
          <w:rStyle w:val="5"/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Style w:val="5"/>
          <w:b/>
          <w:bCs/>
          <w:sz w:val="32"/>
          <w:szCs w:val="32"/>
        </w:rPr>
        <w:t>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sz w:val="32"/>
          <w:szCs w:val="32"/>
        </w:rPr>
      </w:pPr>
      <w:r>
        <w:rPr>
          <w:rStyle w:val="5"/>
          <w:b/>
          <w:bCs/>
          <w:sz w:val="32"/>
          <w:szCs w:val="32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本报告根据按照《中华人民共和国政府信息公开条例》（以下简称《条例》）和《中华人民共和国政府信息公开工作年度报告格式》（国办公开办函〔2021〕30号）要求编制。现向社会公布202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年度曲阜市自然资源和规划局信息公开工作年度报告。本年报包括总体情况、主动公开政府信息情况、收到和处理政府信息公开申请情况、政府信息公开行政复议及行政诉讼情况、存在的主要问题及改进情况、其它需要报告的事项六部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本年度报告中所列数据统计期限从202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年1月1日到12月31日止。本年度报告电子版可从“曲阜市人民政府网站”（www.qufu.gov.cn）下载。如对本年度报告有疑问，请与曲阜市自然资源和规划局办公室联系（地址：曲阜市大同路路5号；邮编：273100；电话:0537-3735797；电子邮箱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qfsgtzyj_bangongshi@ji.shandong.cn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，市自然资源和规划局深入贯彻落实国家、省、市关于政务公开工作的系列部署，进一步加大公开力度、深化公开内容、拓展公开渠道、提升公开实效，全面推进决策、执行、管理、服务、结果“五公开”，促进全市自然资源和规划系统政务公开工作质量效益稳步提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420" w:leftChars="0" w:right="0" w:rightChars="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atLeast"/>
        <w:ind w:left="0" w:firstLine="420"/>
        <w:jc w:val="left"/>
        <w:textAlignment w:val="auto"/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02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年，市自然资源和规划局按照“应公开、尽公开、应上网、尽上网”的原则，坚持以公开为常态、不公开为例外，紧紧围绕人民群众关注关切，充分利用市局网站、微信公众号等多种媒介，及时对外公布重大行政决策、政策解读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eastAsia="zh-CN"/>
        </w:rPr>
        <w:t>。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市自然资源和规划局网站公开信息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948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条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其中，门户网站各类信息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183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条，占比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19.3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%；公告公示类7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3条，占比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76.2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%，重点领域信息公开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42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条，占比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lang w:val="en-US" w:eastAsia="zh-CN"/>
        </w:rPr>
        <w:t>4.5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  <w:t>%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eastAsia="zh-CN"/>
        </w:rPr>
        <w:t>）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、微信公众号公开信息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50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条；办理市长热线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578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件、网络问政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74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件、依申请政府信息公开办理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件；承办人大代表建议和政协委员提案共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件，其中人大代表建议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件（主办）、政协委员提案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件（主办、分办），答复满意率和办理满意率均为100%，切实做到政策文件信息及时发布，让群众看得到、听得懂。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atLeast"/>
        <w:ind w:lef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4918710" cy="4264025"/>
            <wp:effectExtent l="4445" t="4445" r="10795" b="1778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2、重点领域信息公开情况。我局对照省、市202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政务公开工作要点，认真梳理、建立健全重点领域信息公开专栏，并及时更新信息。一是抓好征地信息公开工作。及时公开拟征地公告、“一书四方案”、征地公告、征地补偿安置方案公告、建设用地批复文件等信息，保障了群众知情权。二是抓好公共资源配置领域信息公开，及时公开国有土地使用权出让领域的土地供应计划、出让公告、成交公示、供应结果等信息，确保国有土地使用权出让公开透明。三是抓好财政信息公开。及时公开本部门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年预算及20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决算，其中部门预决算根据财政部门要求，细化了公开内容，全部公开至项级科目，“三公”经费预算详细公开总额和分项数额。四是抓好行政执法公示工作。全面落实行政执法公示制度，及时公开本部门的权责清单、行政执法主体资格清单、行政执法服务指南、执法流程图等制度信息，并按照“双公示”要求，按时公开行政处罚、行政许可结果和统计年报等结果信息，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年主动公开相关信息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条。五是做好政策解读与回应工作。根据“谁起草、谁解读”的原则，做好政策解读工作，对起草的政策性文件，同步准备解读方案和解读材料，落实部门主要负责人“第一解读人”职责，主动引导预期，202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年我局主要负责人带头解读政策性文件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shd w:val="clear" w:fill="FFFFFF"/>
        </w:rPr>
        <w:t>（三）政府信息依申请公开情况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严格按照依申请公开答复书规范编写答复书，根据申请人提供的答复途径按时进行答复，切实保障群众依法获取政府信息的权利。202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年，我局共受理信息公开申请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件，件件依法、及时进行了回复。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（四）政府信息管理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在开展政府信息公开工作中，健全信息公开审核制度和发布台账，严格执行保密审查的有关规定和制度，严格遵循“谁公开谁审查、谁审查谁负责”和“先审查、后公开”的原则，对拟公开的政府信息进行严格审查。在符合保密要求的前提下，依法公开本机关的政务信息，及时更新主动公开基本目录。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年，我局未发生信息发布失信、影响社会稳定等问题。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</w:rPr>
        <w:t>二、主动公开政府信息情况</w:t>
      </w:r>
    </w:p>
    <w:tbl>
      <w:tblPr>
        <w:tblStyle w:val="3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0"/>
        <w:gridCol w:w="1995"/>
        <w:gridCol w:w="135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本年新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制作数量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本年新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公开数量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规范性文件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行政许可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202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其他对外管理服务事项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本年增/减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行政处罚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86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-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行政强制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上一年项目数量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行政事业性收费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1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6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信息内容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采购项目数量</w:t>
            </w:r>
          </w:p>
        </w:tc>
        <w:tc>
          <w:tcPr>
            <w:tcW w:w="33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政府集中采购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　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高压消防水泵10台、油锯30台、风力灭火机76台、摩托车55辆、太阳能智能卡点20套、专业消防装备108套、对讲机54部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1900300.00元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三、收到和处理政府信息公开申请情况</w:t>
      </w:r>
    </w:p>
    <w:tbl>
      <w:tblPr>
        <w:tblStyle w:val="3"/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933"/>
        <w:gridCol w:w="2276"/>
        <w:gridCol w:w="796"/>
        <w:gridCol w:w="738"/>
        <w:gridCol w:w="738"/>
        <w:gridCol w:w="796"/>
        <w:gridCol w:w="955"/>
        <w:gridCol w:w="695"/>
        <w:gridCol w:w="6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1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自然人</w:t>
            </w:r>
          </w:p>
        </w:tc>
        <w:tc>
          <w:tcPr>
            <w:tcW w:w="39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38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科研机构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社会公益组织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法律服务机构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三、本年度办理结果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8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sz w:val="24"/>
          <w:szCs w:val="24"/>
          <w:shd w:val="clear" w:fill="FFFFFF"/>
        </w:rPr>
        <w:t>四、政府信息公开行政复议、行政诉讼情况</w:t>
      </w:r>
    </w:p>
    <w:tbl>
      <w:tblPr>
        <w:tblStyle w:val="3"/>
        <w:tblW w:w="90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20" w:lineRule="atLeas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shd w:val="clear" w:fill="FFFFFF"/>
        </w:rPr>
        <w:t>年我局积极推进政府信息公开工作，取得了一定成效，但还存在一些不足，主要包括：一是科室人员主动报送挖掘信息的意识还需加强；二是信息报送的时效、质量还需要加强；三是政府信息公开队伍能力建设不够，队伍的专业化、理论化水平还有待进一步提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sz w:val="24"/>
          <w:szCs w:val="24"/>
          <w:shd w:val="clear" w:fill="FFFFFF"/>
        </w:rPr>
        <w:t>针对以上不足，我局将加强学习培训，举办培训班，对机关各科室进行专题业务培训，继续深入学习贯彻《条例》，不断提升机关工作人员的公开意识和业务水平。一是深化信息主动公开工作。二是强化信息依申请公开工作。三是进一步理顺内部工作机制。四是提高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3D3D3D"/>
          <w:spacing w:val="0"/>
          <w:sz w:val="24"/>
          <w:szCs w:val="24"/>
          <w:shd w:val="clear" w:fill="FFFFFF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DD8F8"/>
    <w:multiLevelType w:val="singleLevel"/>
    <w:tmpl w:val="D67DD8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C7CB3"/>
    <w:rsid w:val="190C7CB3"/>
    <w:rsid w:val="4E4D1798"/>
    <w:rsid w:val="71A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各类信息占比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71875"/>
          <c:y val="0.118"/>
          <c:w val="0.61525"/>
          <c:h val="0.82033333333333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723, 76.2%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37805859684"/>
                  <c:y val="0.16129827658818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183, 19.3%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885670167906806"/>
                  <c:y val="0.106733504170262"/>
                </c:manualLayout>
              </c:layout>
              <c:numFmt formatCode="General" sourceLinked="1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公告公示类</c:v>
                </c:pt>
                <c:pt idx="1">
                  <c:v>门户网站各类信息</c:v>
                </c:pt>
                <c:pt idx="2">
                  <c:v>重点领域信息公开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76.2</c:v>
                </c:pt>
                <c:pt idx="1">
                  <c:v>19.3</c:v>
                </c:pt>
                <c:pt idx="2">
                  <c:v>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049019607843"/>
          <c:y val="0.8499780026396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2022-01-17T00:59:00Z</dcterms:created>
  <dc:creator>张凯</dc:creator>
  <cp:lastModifiedBy>张凯</cp:lastModifiedBy>
  <dcterms:modified xsi:type="dcterms:W3CDTF">2022-01-17T02:47:03Z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33019F63F9D84A19A0293BDB83F262D2</vt:lpwstr>
  </property>
</Properties>
</file>