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jc w:val="center"/>
        <w:tblCellSpacing w:w="0" w:type="dxa"/>
        <w:tblLayout w:type="autofit"/>
        <w:tblCellMar>
          <w:top w:w="300" w:type="dxa"/>
          <w:left w:w="0" w:type="dxa"/>
          <w:bottom w:w="225" w:type="dxa"/>
          <w:right w:w="0" w:type="dxa"/>
        </w:tblCellMar>
      </w:tblPr>
      <w:tblGrid>
        <w:gridCol w:w="8306"/>
      </w:tblGrid>
      <w:tr>
        <w:tblPrEx>
          <w:tblCellMar>
            <w:top w:w="300" w:type="dxa"/>
            <w:left w:w="0" w:type="dxa"/>
            <w:bottom w:w="225" w:type="dxa"/>
            <w:right w:w="0" w:type="dxa"/>
          </w:tblCellMar>
        </w:tblPrEx>
        <w:trPr>
          <w:tblCellSpacing w:w="0" w:type="dxa"/>
          <w:jc w:val="center"/>
        </w:trPr>
        <w:tc>
          <w:tcPr>
            <w:tcW w:w="0" w:type="auto"/>
            <w:vAlign w:val="center"/>
          </w:tcPr>
          <w:p>
            <w:pPr>
              <w:widowControl/>
              <w:spacing w:line="375" w:lineRule="atLeast"/>
              <w:jc w:val="center"/>
              <w:rPr>
                <w:rFonts w:ascii="微软雅黑" w:hAnsi="微软雅黑" w:eastAsia="微软雅黑" w:cs="宋体"/>
                <w:b/>
                <w:bCs/>
                <w:kern w:val="0"/>
                <w:sz w:val="44"/>
                <w:szCs w:val="44"/>
              </w:rPr>
            </w:pPr>
            <w:r>
              <w:rPr>
                <w:rFonts w:hint="eastAsia" w:ascii="方正小标宋简体" w:hAnsi="方正小标宋简体" w:eastAsia="方正小标宋简体" w:cs="方正小标宋简体"/>
                <w:b/>
                <w:bCs/>
                <w:kern w:val="0"/>
                <w:sz w:val="44"/>
                <w:szCs w:val="44"/>
              </w:rPr>
              <w:t>住房和城乡建设局行政执法裁量基准制度</w:t>
            </w:r>
            <w:r>
              <w:rPr>
                <w:rFonts w:hint="eastAsia" w:ascii="微软雅黑" w:hAnsi="微软雅黑" w:eastAsia="微软雅黑" w:cs="宋体"/>
                <w:b/>
                <w:bCs/>
                <w:kern w:val="0"/>
                <w:sz w:val="44"/>
                <w:szCs w:val="44"/>
              </w:rPr>
              <w:t xml:space="preserve"> </w:t>
            </w:r>
          </w:p>
        </w:tc>
      </w:tr>
    </w:tbl>
    <w:p>
      <w:pPr>
        <w:widowControl/>
        <w:shd w:val="clear" w:color="auto" w:fill="FFFFFF"/>
        <w:jc w:val="center"/>
        <w:rPr>
          <w:rFonts w:ascii="微软雅黑" w:hAnsi="微软雅黑" w:eastAsia="微软雅黑" w:cs="宋体"/>
          <w:vanish/>
          <w:kern w:val="0"/>
          <w:sz w:val="24"/>
          <w:szCs w:val="24"/>
        </w:rPr>
      </w:pPr>
    </w:p>
    <w:tbl>
      <w:tblPr>
        <w:tblStyle w:val="4"/>
        <w:tblW w:w="5000" w:type="pct"/>
        <w:jc w:val="center"/>
        <w:tblCellSpacing w:w="0" w:type="dxa"/>
        <w:tblLayout w:type="autofit"/>
        <w:tblCellMar>
          <w:top w:w="0" w:type="dxa"/>
          <w:left w:w="0" w:type="dxa"/>
          <w:bottom w:w="0" w:type="dxa"/>
          <w:right w:w="0" w:type="dxa"/>
        </w:tblCellMar>
      </w:tblPr>
      <w:tblGrid>
        <w:gridCol w:w="8306"/>
      </w:tblGrid>
      <w:tr>
        <w:tblPrEx>
          <w:tblCellMar>
            <w:top w:w="0" w:type="dxa"/>
            <w:left w:w="0" w:type="dxa"/>
            <w:bottom w:w="0" w:type="dxa"/>
            <w:right w:w="0" w:type="dxa"/>
          </w:tblCellMar>
        </w:tblPrEx>
        <w:trPr>
          <w:tblCellSpacing w:w="0" w:type="dxa"/>
          <w:jc w:val="center"/>
        </w:trPr>
        <w:tc>
          <w:tcPr>
            <w:tcW w:w="0" w:type="auto"/>
            <w:vAlign w:val="center"/>
          </w:tcPr>
          <w:p>
            <w:pPr>
              <w:widowControl/>
              <w:jc w:val="center"/>
              <w:rPr>
                <w:rFonts w:ascii="微软雅黑" w:hAnsi="微软雅黑" w:eastAsia="微软雅黑" w:cs="宋体"/>
                <w:color w:val="6B6B6B"/>
                <w:kern w:val="0"/>
                <w:sz w:val="18"/>
                <w:szCs w:val="18"/>
              </w:rPr>
            </w:pPr>
          </w:p>
        </w:tc>
      </w:tr>
    </w:tbl>
    <w:p>
      <w:pPr>
        <w:widowControl/>
        <w:shd w:val="clear" w:color="auto" w:fill="FFFFFF"/>
        <w:jc w:val="center"/>
        <w:rPr>
          <w:rFonts w:ascii="微软雅黑" w:hAnsi="微软雅黑" w:eastAsia="微软雅黑" w:cs="宋体"/>
          <w:vanish/>
          <w:kern w:val="0"/>
          <w:sz w:val="24"/>
          <w:szCs w:val="24"/>
        </w:rPr>
      </w:pPr>
    </w:p>
    <w:tbl>
      <w:tblPr>
        <w:tblStyle w:val="4"/>
        <w:tblW w:w="4750" w:type="pct"/>
        <w:jc w:val="center"/>
        <w:tblCellSpacing w:w="0" w:type="dxa"/>
        <w:tblLayout w:type="autofit"/>
        <w:tblCellMar>
          <w:top w:w="150" w:type="dxa"/>
          <w:left w:w="300" w:type="dxa"/>
          <w:bottom w:w="225" w:type="dxa"/>
          <w:right w:w="150" w:type="dxa"/>
        </w:tblCellMar>
      </w:tblPr>
      <w:tblGrid>
        <w:gridCol w:w="8318"/>
      </w:tblGrid>
      <w:tr>
        <w:tblPrEx>
          <w:tblCellMar>
            <w:top w:w="150" w:type="dxa"/>
            <w:left w:w="300" w:type="dxa"/>
            <w:bottom w:w="225" w:type="dxa"/>
            <w:right w:w="150" w:type="dxa"/>
          </w:tblCellMar>
        </w:tblPrEx>
        <w:trPr>
          <w:tblCellSpacing w:w="0" w:type="dxa"/>
          <w:jc w:val="center"/>
        </w:trPr>
        <w:tc>
          <w:tcPr>
            <w:tcW w:w="0" w:type="auto"/>
            <w:vAlign w:val="center"/>
          </w:tcPr>
          <w:p>
            <w:pPr>
              <w:widowControl/>
              <w:spacing w:line="390" w:lineRule="atLeast"/>
              <w:ind w:firstLine="640" w:firstLineChars="200"/>
              <w:jc w:val="left"/>
              <w:rPr>
                <w:rFonts w:hint="eastAsia" w:ascii="方正仿宋简体" w:hAnsi="方正仿宋简体" w:eastAsia="方正仿宋简体" w:cs="方正仿宋简体"/>
                <w:b/>
                <w:bCs/>
                <w:color w:val="000000"/>
                <w:kern w:val="0"/>
                <w:sz w:val="32"/>
                <w:szCs w:val="32"/>
              </w:rPr>
            </w:pPr>
            <w:r>
              <w:rPr>
                <w:rFonts w:hint="eastAsia" w:ascii="黑体" w:hAnsi="黑体" w:eastAsia="黑体" w:cs="黑体"/>
                <w:color w:val="000000"/>
                <w:kern w:val="0"/>
                <w:sz w:val="32"/>
                <w:szCs w:val="32"/>
              </w:rPr>
              <w:t>第一条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为规范建设行政执法行为，合法、合理行使建设行政处罚自由裁量权，保护公民、法人和其他组织的合法权益，依据《中华人民共和国建筑法》、《中华人民共和国招标投标法》、《中华人民共和国安全生产法》、《中华人民共和国行政处罚法》、《中华人民共和国注册建筑师条例》、《建设工程安全生产管理条例》、《建设工程安全生产质量管理条例》、《建设工程施工许可证管理办法》等法律法规，制定本制度。</w:t>
            </w:r>
          </w:p>
          <w:p>
            <w:pPr>
              <w:widowControl/>
              <w:spacing w:line="390" w:lineRule="atLeast"/>
              <w:ind w:firstLine="640" w:firstLineChars="200"/>
              <w:jc w:val="left"/>
              <w:rPr>
                <w:rFonts w:hint="eastAsia" w:ascii="方正仿宋简体" w:hAnsi="方正仿宋简体" w:eastAsia="方正仿宋简体" w:cs="方正仿宋简体"/>
                <w:b/>
                <w:bCs/>
                <w:color w:val="000000"/>
                <w:kern w:val="0"/>
                <w:sz w:val="32"/>
                <w:szCs w:val="32"/>
              </w:rPr>
            </w:pPr>
            <w:r>
              <w:rPr>
                <w:rFonts w:hint="eastAsia" w:ascii="黑体" w:hAnsi="黑体" w:eastAsia="黑体" w:cs="黑体"/>
                <w:color w:val="000000"/>
                <w:kern w:val="0"/>
                <w:sz w:val="32"/>
                <w:szCs w:val="32"/>
              </w:rPr>
              <w:t>第二条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曲阜市住建局各行政执法股室行使行政处罚自由裁量权，适用本制度。</w:t>
            </w:r>
          </w:p>
          <w:p>
            <w:pPr>
              <w:widowControl/>
              <w:spacing w:line="390" w:lineRule="atLeast"/>
              <w:jc w:val="left"/>
              <w:rPr>
                <w:rFonts w:hint="eastAsia" w:ascii="方正仿宋简体" w:hAnsi="方正仿宋简体" w:eastAsia="方正仿宋简体" w:cs="方正仿宋简体"/>
                <w:color w:val="000000"/>
                <w:kern w:val="0"/>
                <w:sz w:val="32"/>
                <w:szCs w:val="32"/>
              </w:rPr>
            </w:pPr>
            <w:r>
              <w:rPr>
                <w:rFonts w:hint="eastAsia" w:ascii="方正仿宋简体" w:hAnsi="方正仿宋简体" w:eastAsia="方正仿宋简体" w:cs="方正仿宋简体"/>
                <w:b/>
                <w:bCs/>
                <w:color w:val="000000"/>
                <w:kern w:val="0"/>
                <w:sz w:val="32"/>
                <w:szCs w:val="32"/>
              </w:rPr>
              <w:t>本制度所称建设行政处罚自由裁量权是指建设工程执法单位和监督部门在依法实施行政处罚时，对违法行为是否给予行政处罚、给予何种处罚和给予何种幅度行政处罚进行裁量的权限。</w:t>
            </w:r>
          </w:p>
          <w:p>
            <w:pPr>
              <w:widowControl/>
              <w:spacing w:line="390" w:lineRule="atLeast"/>
              <w:ind w:firstLine="640" w:firstLineChars="200"/>
              <w:jc w:val="left"/>
              <w:rPr>
                <w:rFonts w:hint="eastAsia" w:ascii="方正仿宋简体" w:hAnsi="方正仿宋简体" w:eastAsia="方正仿宋简体" w:cs="方正仿宋简体"/>
                <w:color w:val="000000"/>
                <w:kern w:val="0"/>
                <w:sz w:val="32"/>
                <w:szCs w:val="32"/>
              </w:rPr>
            </w:pPr>
            <w:r>
              <w:rPr>
                <w:rFonts w:hint="eastAsia" w:ascii="黑体" w:hAnsi="黑体" w:eastAsia="黑体" w:cs="黑体"/>
                <w:color w:val="000000"/>
                <w:kern w:val="0"/>
                <w:sz w:val="32"/>
                <w:szCs w:val="32"/>
              </w:rPr>
              <w:t>第三条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行使建设行政处罚自由裁量权应当遵循公平公正、过罚相当、综合裁量、处罚与教育相结合的原则。</w:t>
            </w:r>
          </w:p>
          <w:p>
            <w:pPr>
              <w:widowControl/>
              <w:spacing w:line="390" w:lineRule="atLeast"/>
              <w:ind w:firstLine="640" w:firstLineChars="200"/>
              <w:jc w:val="left"/>
              <w:rPr>
                <w:rFonts w:hint="eastAsia" w:ascii="方正仿宋简体" w:hAnsi="方正仿宋简体" w:eastAsia="方正仿宋简体" w:cs="方正仿宋简体"/>
                <w:color w:val="000000"/>
                <w:kern w:val="0"/>
                <w:sz w:val="32"/>
                <w:szCs w:val="32"/>
              </w:rPr>
            </w:pPr>
            <w:r>
              <w:rPr>
                <w:rFonts w:hint="eastAsia" w:ascii="黑体" w:hAnsi="黑体" w:eastAsia="黑体" w:cs="黑体"/>
                <w:color w:val="000000"/>
                <w:kern w:val="0"/>
                <w:sz w:val="32"/>
                <w:szCs w:val="32"/>
              </w:rPr>
              <w:t>第四</w:t>
            </w:r>
            <w:bookmarkStart w:id="0" w:name="_GoBack"/>
            <w:bookmarkEnd w:id="0"/>
            <w:r>
              <w:rPr>
                <w:rFonts w:hint="eastAsia" w:ascii="黑体" w:hAnsi="黑体" w:eastAsia="黑体" w:cs="黑体"/>
                <w:color w:val="000000"/>
                <w:kern w:val="0"/>
                <w:sz w:val="32"/>
                <w:szCs w:val="32"/>
              </w:rPr>
              <w:t>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建设违法行为分轻微、一般、严重、特别严重四个等级，每个等级确定相应的处罚种类和幅度。</w:t>
            </w:r>
          </w:p>
          <w:p>
            <w:pPr>
              <w:widowControl/>
              <w:spacing w:line="390" w:lineRule="atLeast"/>
              <w:ind w:firstLine="640" w:firstLineChars="200"/>
              <w:jc w:val="left"/>
              <w:rPr>
                <w:rFonts w:hint="eastAsia" w:ascii="方正仿宋简体" w:hAnsi="方正仿宋简体" w:eastAsia="方正仿宋简体" w:cs="方正仿宋简体"/>
                <w:color w:val="000000"/>
                <w:kern w:val="0"/>
                <w:sz w:val="32"/>
                <w:szCs w:val="32"/>
              </w:rPr>
            </w:pPr>
            <w:r>
              <w:rPr>
                <w:rFonts w:hint="eastAsia" w:ascii="黑体" w:hAnsi="黑体" w:eastAsia="黑体" w:cs="黑体"/>
                <w:color w:val="000000"/>
                <w:kern w:val="0"/>
                <w:sz w:val="32"/>
                <w:szCs w:val="32"/>
              </w:rPr>
              <w:t>第五条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行使建设行政处罚自由裁量权必须以事实为依据，应当综合考虑违法行为事实、性质、情节以及社会危害程度等因素，依次确定违法行为等级，选择处罚种类和幅度。确定行政处罚幅度时应考虑本地社会经济发展水平、相对人承受能力和整改纠错表现等因素。</w:t>
            </w:r>
          </w:p>
          <w:p>
            <w:pPr>
              <w:widowControl/>
              <w:spacing w:line="390" w:lineRule="atLeast"/>
              <w:ind w:firstLine="640" w:firstLineChars="200"/>
              <w:jc w:val="left"/>
              <w:rPr>
                <w:rFonts w:hint="eastAsia" w:ascii="方正仿宋简体" w:hAnsi="方正仿宋简体" w:eastAsia="方正仿宋简体" w:cs="方正仿宋简体"/>
                <w:color w:val="000000"/>
                <w:kern w:val="0"/>
                <w:sz w:val="32"/>
                <w:szCs w:val="32"/>
              </w:rPr>
            </w:pPr>
            <w:r>
              <w:rPr>
                <w:rFonts w:hint="eastAsia" w:ascii="黑体" w:hAnsi="黑体" w:eastAsia="黑体" w:cs="黑体"/>
                <w:color w:val="000000"/>
                <w:kern w:val="0"/>
                <w:sz w:val="32"/>
                <w:szCs w:val="32"/>
              </w:rPr>
              <w:t>第六条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对于违法事实、性质、情节及社会危害程度等因素基本相同或者相似的违法行为，所适用的法律依据、处罚种类和幅度应该相同或者相当。</w:t>
            </w:r>
          </w:p>
          <w:p>
            <w:pPr>
              <w:widowControl/>
              <w:spacing w:line="390" w:lineRule="atLeast"/>
              <w:ind w:firstLine="640" w:firstLineChars="200"/>
              <w:jc w:val="left"/>
              <w:rPr>
                <w:rFonts w:hint="eastAsia" w:ascii="方正仿宋简体" w:hAnsi="方正仿宋简体" w:eastAsia="方正仿宋简体" w:cs="方正仿宋简体"/>
                <w:color w:val="000000"/>
                <w:kern w:val="0"/>
                <w:sz w:val="32"/>
                <w:szCs w:val="32"/>
              </w:rPr>
            </w:pPr>
            <w:r>
              <w:rPr>
                <w:rFonts w:hint="eastAsia" w:ascii="黑体" w:hAnsi="黑体" w:eastAsia="黑体" w:cs="黑体"/>
                <w:color w:val="000000"/>
                <w:kern w:val="0"/>
                <w:sz w:val="32"/>
                <w:szCs w:val="32"/>
              </w:rPr>
              <w:t>第七条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具有下列情形之一的，应当从重处罚：</w:t>
            </w:r>
          </w:p>
          <w:p>
            <w:pPr>
              <w:widowControl/>
              <w:spacing w:line="390" w:lineRule="atLeast"/>
              <w:ind w:firstLine="480" w:firstLineChars="15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（一）</w:t>
            </w:r>
            <w:r>
              <w:rPr>
                <w:rFonts w:hint="eastAsia" w:ascii="方正仿宋简体" w:hAnsi="方正仿宋简体" w:eastAsia="方正仿宋简体" w:cs="方正仿宋简体"/>
                <w:b/>
                <w:bCs/>
                <w:color w:val="000000"/>
                <w:kern w:val="0"/>
                <w:sz w:val="32"/>
                <w:szCs w:val="32"/>
              </w:rPr>
              <w:t>隐匿、销毁违法证据的；</w:t>
            </w:r>
          </w:p>
          <w:p>
            <w:pPr>
              <w:widowControl/>
              <w:spacing w:line="390" w:lineRule="atLeast"/>
              <w:ind w:firstLine="480" w:firstLineChars="15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（二）</w:t>
            </w:r>
            <w:r>
              <w:rPr>
                <w:rFonts w:hint="eastAsia" w:ascii="方正仿宋简体" w:hAnsi="方正仿宋简体" w:eastAsia="方正仿宋简体" w:cs="方正仿宋简体"/>
                <w:b/>
                <w:bCs/>
                <w:color w:val="000000"/>
                <w:kern w:val="0"/>
                <w:sz w:val="32"/>
                <w:szCs w:val="32"/>
              </w:rPr>
              <w:t>立案调查期间相互串通伪造或提供假证据的；</w:t>
            </w:r>
          </w:p>
          <w:p>
            <w:pPr>
              <w:widowControl/>
              <w:spacing w:line="390" w:lineRule="atLeast"/>
              <w:ind w:firstLine="480" w:firstLineChars="15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（三）</w:t>
            </w:r>
            <w:r>
              <w:rPr>
                <w:rFonts w:hint="eastAsia" w:ascii="方正仿宋简体" w:hAnsi="方正仿宋简体" w:eastAsia="方正仿宋简体" w:cs="方正仿宋简体"/>
                <w:b/>
                <w:bCs/>
                <w:color w:val="000000"/>
                <w:kern w:val="0"/>
                <w:sz w:val="32"/>
                <w:szCs w:val="32"/>
              </w:rPr>
              <w:t>妨碍执法、暴力抗法尚未构成犯罪的；</w:t>
            </w:r>
          </w:p>
          <w:p>
            <w:pPr>
              <w:widowControl/>
              <w:spacing w:line="390" w:lineRule="atLeast"/>
              <w:ind w:firstLine="480" w:firstLineChars="15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（四）</w:t>
            </w:r>
            <w:r>
              <w:rPr>
                <w:rFonts w:hint="eastAsia" w:ascii="方正仿宋简体" w:hAnsi="方正仿宋简体" w:eastAsia="方正仿宋简体" w:cs="方正仿宋简体"/>
                <w:b/>
                <w:bCs/>
                <w:color w:val="000000"/>
                <w:kern w:val="0"/>
                <w:sz w:val="32"/>
                <w:szCs w:val="32"/>
              </w:rPr>
              <w:t>在规定期限内未停止、改正违法行为或未采取其他补救措施的；</w:t>
            </w:r>
          </w:p>
          <w:p>
            <w:pPr>
              <w:widowControl/>
              <w:spacing w:line="390" w:lineRule="atLeast"/>
              <w:ind w:firstLine="480" w:firstLineChars="15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（五）</w:t>
            </w:r>
            <w:r>
              <w:rPr>
                <w:rFonts w:hint="eastAsia" w:ascii="方正仿宋简体" w:hAnsi="方正仿宋简体" w:eastAsia="方正仿宋简体" w:cs="方正仿宋简体"/>
                <w:b/>
                <w:bCs/>
                <w:color w:val="000000"/>
                <w:kern w:val="0"/>
                <w:sz w:val="32"/>
                <w:szCs w:val="32"/>
              </w:rPr>
              <w:t>危及国家安全、公共安全、人身健康、生命财产安全和环境保护，造成严重后果的；</w:t>
            </w:r>
          </w:p>
          <w:p>
            <w:pPr>
              <w:widowControl/>
              <w:spacing w:line="390" w:lineRule="atLeast"/>
              <w:ind w:firstLine="480" w:firstLineChars="15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（六）</w:t>
            </w:r>
            <w:r>
              <w:rPr>
                <w:rFonts w:hint="eastAsia" w:ascii="方正仿宋简体" w:hAnsi="方正仿宋简体" w:eastAsia="方正仿宋简体" w:cs="方正仿宋简体"/>
                <w:b/>
                <w:bCs/>
                <w:color w:val="000000"/>
                <w:kern w:val="0"/>
                <w:sz w:val="32"/>
                <w:szCs w:val="32"/>
              </w:rPr>
              <w:t>胁迫、诱骗他人或组织实施违法行为的；</w:t>
            </w:r>
          </w:p>
          <w:p>
            <w:pPr>
              <w:widowControl/>
              <w:spacing w:line="390" w:lineRule="atLeast"/>
              <w:ind w:firstLine="480" w:firstLineChars="15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（七）</w:t>
            </w:r>
            <w:r>
              <w:rPr>
                <w:rFonts w:hint="eastAsia" w:ascii="方正仿宋简体" w:hAnsi="方正仿宋简体" w:eastAsia="方正仿宋简体" w:cs="方正仿宋简体"/>
                <w:b/>
                <w:bCs/>
                <w:color w:val="000000"/>
                <w:kern w:val="0"/>
                <w:sz w:val="32"/>
                <w:szCs w:val="32"/>
              </w:rPr>
              <w:t>多次（2次以上）实施违法行为拒不改正的；</w:t>
            </w:r>
          </w:p>
          <w:p>
            <w:pPr>
              <w:widowControl/>
              <w:spacing w:line="390" w:lineRule="atLeast"/>
              <w:ind w:firstLine="480" w:firstLineChars="15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（八）</w:t>
            </w:r>
            <w:r>
              <w:rPr>
                <w:rFonts w:hint="eastAsia" w:ascii="方正仿宋简体" w:hAnsi="方正仿宋简体" w:eastAsia="方正仿宋简体" w:cs="方正仿宋简体"/>
                <w:b/>
                <w:bCs/>
                <w:color w:val="000000"/>
                <w:kern w:val="0"/>
                <w:sz w:val="32"/>
                <w:szCs w:val="32"/>
              </w:rPr>
              <w:t>在发生突发公共事件时实施违法行为的；</w:t>
            </w:r>
          </w:p>
          <w:p>
            <w:pPr>
              <w:widowControl/>
              <w:spacing w:line="390" w:lineRule="atLeast"/>
              <w:ind w:firstLine="480" w:firstLineChars="15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（九）</w:t>
            </w:r>
            <w:r>
              <w:rPr>
                <w:rFonts w:hint="eastAsia" w:ascii="方正仿宋简体" w:hAnsi="方正仿宋简体" w:eastAsia="方正仿宋简体" w:cs="方正仿宋简体"/>
                <w:b/>
                <w:bCs/>
                <w:color w:val="000000"/>
                <w:kern w:val="0"/>
                <w:sz w:val="32"/>
                <w:szCs w:val="32"/>
              </w:rPr>
              <w:t>对举报人、证人或者建设行政执法人员打击报复的；</w:t>
            </w:r>
          </w:p>
          <w:p>
            <w:pPr>
              <w:widowControl/>
              <w:spacing w:line="390" w:lineRule="atLeast"/>
              <w:ind w:firstLine="480" w:firstLineChars="15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（十）</w:t>
            </w:r>
            <w:r>
              <w:rPr>
                <w:rFonts w:hint="eastAsia" w:ascii="方正仿宋简体" w:hAnsi="方正仿宋简体" w:eastAsia="方正仿宋简体" w:cs="方正仿宋简体"/>
                <w:b/>
                <w:bCs/>
                <w:color w:val="000000"/>
                <w:kern w:val="0"/>
                <w:sz w:val="32"/>
                <w:szCs w:val="32"/>
              </w:rPr>
              <w:t>其他依法适用从重处罚的情形。</w:t>
            </w:r>
          </w:p>
          <w:p>
            <w:pPr>
              <w:widowControl/>
              <w:spacing w:line="390" w:lineRule="atLeast"/>
              <w:ind w:firstLine="800" w:firstLineChars="250"/>
              <w:jc w:val="left"/>
              <w:rPr>
                <w:rFonts w:hint="eastAsia" w:ascii="方正仿宋简体" w:hAnsi="方正仿宋简体" w:eastAsia="方正仿宋简体" w:cs="方正仿宋简体"/>
                <w:color w:val="000000"/>
                <w:kern w:val="0"/>
                <w:sz w:val="32"/>
                <w:szCs w:val="32"/>
              </w:rPr>
            </w:pPr>
            <w:r>
              <w:rPr>
                <w:rFonts w:hint="eastAsia" w:ascii="黑体" w:hAnsi="黑体" w:eastAsia="黑体" w:cs="黑体"/>
                <w:color w:val="000000"/>
                <w:kern w:val="0"/>
                <w:sz w:val="32"/>
                <w:szCs w:val="32"/>
              </w:rPr>
              <w:t>第八条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具有下列情形之一的，应当减轻或者从轻处罚：</w:t>
            </w:r>
          </w:p>
          <w:p>
            <w:pPr>
              <w:widowControl/>
              <w:spacing w:line="390" w:lineRule="atLeast"/>
              <w:ind w:firstLine="640" w:firstLineChars="20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（一）</w:t>
            </w:r>
            <w:r>
              <w:rPr>
                <w:rFonts w:hint="eastAsia" w:ascii="方正仿宋简体" w:hAnsi="方正仿宋简体" w:eastAsia="方正仿宋简体" w:cs="方正仿宋简体"/>
                <w:b/>
                <w:bCs/>
                <w:color w:val="000000"/>
                <w:kern w:val="0"/>
                <w:sz w:val="32"/>
                <w:szCs w:val="32"/>
              </w:rPr>
              <w:t>主动消除或者减轻违法行为危害后果的；</w:t>
            </w:r>
          </w:p>
          <w:p>
            <w:pPr>
              <w:widowControl/>
              <w:spacing w:line="390" w:lineRule="atLeast"/>
              <w:ind w:firstLine="640" w:firstLineChars="20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（二）</w:t>
            </w:r>
            <w:r>
              <w:rPr>
                <w:rFonts w:hint="eastAsia" w:ascii="方正仿宋简体" w:hAnsi="方正仿宋简体" w:eastAsia="方正仿宋简体" w:cs="方正仿宋简体"/>
                <w:b/>
                <w:bCs/>
                <w:color w:val="000000"/>
                <w:kern w:val="0"/>
                <w:sz w:val="32"/>
                <w:szCs w:val="32"/>
              </w:rPr>
              <w:t>受他人胁迫有违法行为的；</w:t>
            </w:r>
          </w:p>
          <w:p>
            <w:pPr>
              <w:widowControl/>
              <w:spacing w:line="390" w:lineRule="atLeast"/>
              <w:ind w:firstLine="640" w:firstLineChars="20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（三）</w:t>
            </w:r>
            <w:r>
              <w:rPr>
                <w:rFonts w:hint="eastAsia" w:ascii="方正仿宋简体" w:hAnsi="方正仿宋简体" w:eastAsia="方正仿宋简体" w:cs="方正仿宋简体"/>
                <w:b/>
                <w:bCs/>
                <w:color w:val="000000"/>
                <w:kern w:val="0"/>
                <w:sz w:val="32"/>
                <w:szCs w:val="32"/>
              </w:rPr>
              <w:t>配合行政机关查处违法行为有立功表现的</w:t>
            </w:r>
            <w:r>
              <w:rPr>
                <w:rFonts w:hint="eastAsia" w:ascii="方正仿宋简体" w:hAnsi="方正仿宋简体" w:eastAsia="方正仿宋简体" w:cs="方正仿宋简体"/>
                <w:color w:val="000000"/>
                <w:kern w:val="0"/>
                <w:sz w:val="32"/>
                <w:szCs w:val="32"/>
              </w:rPr>
              <w:t>；</w:t>
            </w:r>
          </w:p>
          <w:p>
            <w:pPr>
              <w:widowControl/>
              <w:spacing w:line="390" w:lineRule="atLeast"/>
              <w:ind w:firstLine="640" w:firstLineChars="200"/>
              <w:jc w:val="left"/>
              <w:rPr>
                <w:rFonts w:hint="eastAsia" w:ascii="方正仿宋简体" w:hAnsi="方正仿宋简体" w:eastAsia="方正仿宋简体" w:cs="方正仿宋简体"/>
                <w:color w:val="000000"/>
                <w:kern w:val="0"/>
                <w:sz w:val="32"/>
                <w:szCs w:val="32"/>
              </w:rPr>
            </w:pPr>
            <w:r>
              <w:rPr>
                <w:rFonts w:hint="eastAsia" w:ascii="楷体" w:hAnsi="楷体" w:eastAsia="楷体" w:cs="楷体"/>
                <w:color w:val="000000"/>
                <w:kern w:val="0"/>
                <w:sz w:val="32"/>
                <w:szCs w:val="32"/>
              </w:rPr>
              <w:t>（四）</w:t>
            </w:r>
            <w:r>
              <w:rPr>
                <w:rFonts w:hint="eastAsia" w:ascii="方正仿宋简体" w:hAnsi="方正仿宋简体" w:eastAsia="方正仿宋简体" w:cs="方正仿宋简体"/>
                <w:b/>
                <w:bCs/>
                <w:color w:val="000000"/>
                <w:kern w:val="0"/>
                <w:sz w:val="32"/>
                <w:szCs w:val="32"/>
              </w:rPr>
              <w:t>其他依法从轻或者减轻行政处罚的。</w:t>
            </w:r>
          </w:p>
          <w:p>
            <w:pPr>
              <w:widowControl/>
              <w:spacing w:line="390" w:lineRule="atLeast"/>
              <w:ind w:firstLine="640" w:firstLineChars="200"/>
              <w:jc w:val="left"/>
              <w:rPr>
                <w:rFonts w:hint="eastAsia" w:ascii="方正仿宋简体" w:hAnsi="方正仿宋简体" w:eastAsia="方正仿宋简体" w:cs="方正仿宋简体"/>
                <w:b/>
                <w:bCs/>
                <w:color w:val="000000"/>
                <w:kern w:val="0"/>
                <w:sz w:val="32"/>
                <w:szCs w:val="32"/>
              </w:rPr>
            </w:pPr>
            <w:r>
              <w:rPr>
                <w:rFonts w:hint="eastAsia" w:ascii="黑体" w:hAnsi="黑体" w:eastAsia="黑体" w:cs="黑体"/>
                <w:color w:val="000000"/>
                <w:kern w:val="0"/>
                <w:sz w:val="32"/>
                <w:szCs w:val="32"/>
              </w:rPr>
              <w:t>第九条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违法行为特别轻微或者轻微并及时纠正，没有造成危害后果的，不予行政处罚；</w:t>
            </w:r>
          </w:p>
          <w:p>
            <w:pPr>
              <w:widowControl/>
              <w:spacing w:line="390" w:lineRule="atLeast"/>
              <w:ind w:firstLine="643" w:firstLineChars="200"/>
              <w:jc w:val="left"/>
              <w:rPr>
                <w:rFonts w:hint="eastAsia" w:ascii="方正仿宋简体" w:hAnsi="方正仿宋简体" w:eastAsia="方正仿宋简体" w:cs="方正仿宋简体"/>
                <w:b/>
                <w:bCs/>
                <w:color w:val="000000"/>
                <w:kern w:val="0"/>
                <w:sz w:val="32"/>
                <w:szCs w:val="32"/>
              </w:rPr>
            </w:pPr>
            <w:r>
              <w:rPr>
                <w:rFonts w:hint="eastAsia" w:ascii="方正仿宋简体" w:hAnsi="方正仿宋简体" w:eastAsia="方正仿宋简体" w:cs="方正仿宋简体"/>
                <w:b/>
                <w:bCs/>
                <w:color w:val="000000"/>
                <w:kern w:val="0"/>
                <w:sz w:val="32"/>
                <w:szCs w:val="32"/>
              </w:rPr>
              <w:t>其他依法不予行政处罚的情形应不予行政处罚。</w:t>
            </w:r>
          </w:p>
          <w:p>
            <w:pPr>
              <w:widowControl/>
              <w:spacing w:line="390" w:lineRule="atLeast"/>
              <w:ind w:firstLine="640" w:firstLineChars="200"/>
              <w:jc w:val="left"/>
              <w:rPr>
                <w:rFonts w:hint="eastAsia" w:ascii="方正仿宋简体" w:hAnsi="方正仿宋简体" w:eastAsia="方正仿宋简体" w:cs="方正仿宋简体"/>
                <w:b/>
                <w:bCs/>
                <w:color w:val="000000"/>
                <w:kern w:val="0"/>
                <w:sz w:val="32"/>
                <w:szCs w:val="32"/>
              </w:rPr>
            </w:pPr>
            <w:r>
              <w:rPr>
                <w:rFonts w:hint="eastAsia" w:ascii="黑体" w:hAnsi="黑体" w:eastAsia="黑体" w:cs="黑体"/>
                <w:color w:val="000000"/>
                <w:kern w:val="0"/>
                <w:sz w:val="32"/>
                <w:szCs w:val="32"/>
              </w:rPr>
              <w:t>第十条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从重、减轻、从轻、不予处罚的情形，应当在相应的执法文书中裁明。</w:t>
            </w:r>
          </w:p>
          <w:p>
            <w:pPr>
              <w:widowControl/>
              <w:spacing w:line="390" w:lineRule="atLeast"/>
              <w:ind w:firstLine="643" w:firstLineChars="200"/>
              <w:jc w:val="left"/>
              <w:rPr>
                <w:rFonts w:hint="eastAsia" w:ascii="方正仿宋简体" w:hAnsi="方正仿宋简体" w:eastAsia="方正仿宋简体" w:cs="方正仿宋简体"/>
                <w:b/>
                <w:bCs/>
                <w:color w:val="000000"/>
                <w:kern w:val="0"/>
                <w:sz w:val="32"/>
                <w:szCs w:val="32"/>
              </w:rPr>
            </w:pPr>
            <w:r>
              <w:rPr>
                <w:rFonts w:hint="eastAsia" w:ascii="方正仿宋简体" w:hAnsi="方正仿宋简体" w:eastAsia="方正仿宋简体" w:cs="方正仿宋简体"/>
                <w:b/>
                <w:bCs/>
                <w:color w:val="000000"/>
                <w:kern w:val="0"/>
                <w:sz w:val="32"/>
                <w:szCs w:val="32"/>
              </w:rPr>
              <w:t>本制度中所称从重，是指在法定处罚幅度以内，对行政违法相对人适用相对较重的处罚。</w:t>
            </w:r>
          </w:p>
          <w:p>
            <w:pPr>
              <w:widowControl/>
              <w:spacing w:line="390" w:lineRule="atLeast"/>
              <w:ind w:firstLine="643" w:firstLineChars="200"/>
              <w:jc w:val="left"/>
              <w:rPr>
                <w:rFonts w:hint="eastAsia" w:ascii="方正仿宋简体" w:hAnsi="方正仿宋简体" w:eastAsia="方正仿宋简体" w:cs="方正仿宋简体"/>
                <w:b/>
                <w:bCs/>
                <w:color w:val="000000"/>
                <w:kern w:val="0"/>
                <w:sz w:val="32"/>
                <w:szCs w:val="32"/>
              </w:rPr>
            </w:pPr>
            <w:r>
              <w:rPr>
                <w:rFonts w:hint="eastAsia" w:ascii="方正仿宋简体" w:hAnsi="方正仿宋简体" w:eastAsia="方正仿宋简体" w:cs="方正仿宋简体"/>
                <w:b/>
                <w:bCs/>
                <w:color w:val="000000"/>
                <w:kern w:val="0"/>
                <w:sz w:val="32"/>
                <w:szCs w:val="32"/>
              </w:rPr>
              <w:t>本制度中所称减轻，是指在法定处罚幅度以下给予处罚。</w:t>
            </w:r>
          </w:p>
          <w:p>
            <w:pPr>
              <w:widowControl/>
              <w:spacing w:line="390" w:lineRule="atLeast"/>
              <w:ind w:firstLine="643" w:firstLineChars="200"/>
              <w:jc w:val="left"/>
              <w:rPr>
                <w:rFonts w:hint="eastAsia" w:ascii="方正仿宋简体" w:hAnsi="方正仿宋简体" w:eastAsia="方正仿宋简体" w:cs="方正仿宋简体"/>
                <w:b/>
                <w:bCs/>
                <w:color w:val="000000"/>
                <w:kern w:val="0"/>
                <w:sz w:val="32"/>
                <w:szCs w:val="32"/>
              </w:rPr>
            </w:pPr>
            <w:r>
              <w:rPr>
                <w:rFonts w:hint="eastAsia" w:ascii="方正仿宋简体" w:hAnsi="方正仿宋简体" w:eastAsia="方正仿宋简体" w:cs="方正仿宋简体"/>
                <w:b/>
                <w:bCs/>
                <w:color w:val="000000"/>
                <w:kern w:val="0"/>
                <w:sz w:val="32"/>
                <w:szCs w:val="32"/>
              </w:rPr>
              <w:t>本制度所称从轻，是指法定处罚幅度以内，对行政违法相对人适用相对较轻的处罚。</w:t>
            </w:r>
          </w:p>
          <w:p>
            <w:pPr>
              <w:widowControl/>
              <w:spacing w:line="390" w:lineRule="atLeast"/>
              <w:ind w:firstLine="640" w:firstLineChars="200"/>
              <w:jc w:val="left"/>
              <w:rPr>
                <w:rFonts w:hint="eastAsia" w:ascii="方正仿宋简体" w:hAnsi="方正仿宋简体" w:eastAsia="方正仿宋简体" w:cs="方正仿宋简体"/>
                <w:color w:val="000000"/>
                <w:kern w:val="0"/>
                <w:sz w:val="32"/>
                <w:szCs w:val="32"/>
              </w:rPr>
            </w:pPr>
            <w:r>
              <w:rPr>
                <w:rFonts w:hint="eastAsia" w:ascii="黑体" w:hAnsi="黑体" w:eastAsia="黑体" w:cs="黑体"/>
                <w:color w:val="000000"/>
                <w:kern w:val="0"/>
                <w:sz w:val="32"/>
                <w:szCs w:val="32"/>
              </w:rPr>
              <w:t>第十一条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住建局将加强对执法单位行使自由裁量权情况进行监督检查，对自由裁量权行使不当的，应当责令改正</w:t>
            </w:r>
            <w:r>
              <w:rPr>
                <w:rFonts w:hint="eastAsia" w:ascii="方正仿宋简体" w:hAnsi="方正仿宋简体" w:eastAsia="方正仿宋简体" w:cs="方正仿宋简体"/>
                <w:color w:val="000000"/>
                <w:kern w:val="0"/>
                <w:sz w:val="32"/>
                <w:szCs w:val="32"/>
              </w:rPr>
              <w:t>。</w:t>
            </w:r>
          </w:p>
          <w:p>
            <w:pPr>
              <w:widowControl/>
              <w:spacing w:line="390" w:lineRule="atLeast"/>
              <w:ind w:firstLine="640" w:firstLineChars="200"/>
              <w:jc w:val="left"/>
              <w:rPr>
                <w:rFonts w:cs="宋体" w:asciiTheme="minorEastAsia" w:hAnsiTheme="minorEastAsia"/>
                <w:color w:val="000000"/>
                <w:kern w:val="0"/>
                <w:sz w:val="28"/>
                <w:szCs w:val="28"/>
              </w:rPr>
            </w:pPr>
            <w:r>
              <w:rPr>
                <w:rFonts w:hint="eastAsia" w:ascii="黑体" w:hAnsi="黑体" w:eastAsia="黑体" w:cs="黑体"/>
                <w:color w:val="000000"/>
                <w:kern w:val="0"/>
                <w:sz w:val="32"/>
                <w:szCs w:val="32"/>
              </w:rPr>
              <w:t>第十二条</w:t>
            </w:r>
            <w:r>
              <w:rPr>
                <w:rFonts w:hint="eastAsia" w:ascii="方正仿宋简体" w:hAnsi="方正仿宋简体" w:eastAsia="方正仿宋简体" w:cs="方正仿宋简体"/>
                <w:color w:val="000000"/>
                <w:kern w:val="0"/>
                <w:sz w:val="32"/>
                <w:szCs w:val="32"/>
              </w:rPr>
              <w:t>　</w:t>
            </w:r>
            <w:r>
              <w:rPr>
                <w:rFonts w:hint="eastAsia" w:ascii="方正仿宋简体" w:hAnsi="方正仿宋简体" w:eastAsia="方正仿宋简体" w:cs="方正仿宋简体"/>
                <w:b/>
                <w:bCs/>
                <w:color w:val="000000"/>
                <w:kern w:val="0"/>
                <w:sz w:val="32"/>
                <w:szCs w:val="32"/>
              </w:rPr>
              <w:t>在行使建设行政处罚自由裁量权过程中，玩忽职守、滥用职权、徇私舞弊的，依法给予责任人处分；构成犯罪的，依法追究其刑事责任。</w:t>
            </w:r>
          </w:p>
        </w:tc>
      </w:tr>
    </w:tbl>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36519"/>
      <w:docPartObj>
        <w:docPartGallery w:val="autotext"/>
      </w:docPartObj>
    </w:sdtPr>
    <w:sdtContent>
      <w:sdt>
        <w:sdtPr>
          <w:id w:val="171357217"/>
          <w:docPartObj>
            <w:docPartGallery w:val="autotext"/>
          </w:docPartObj>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Y5MjMxYTU0MDlkZmQyZTAzYzQyNTFkMmY4NDRmNWMifQ=="/>
  </w:docVars>
  <w:rsids>
    <w:rsidRoot w:val="00D6386A"/>
    <w:rsid w:val="0018026D"/>
    <w:rsid w:val="00797868"/>
    <w:rsid w:val="00D6386A"/>
    <w:rsid w:val="1F795CD7"/>
    <w:rsid w:val="495A0D7E"/>
    <w:rsid w:val="57FE0F35"/>
    <w:rsid w:val="6D8A4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1259</Words>
  <Characters>1259</Characters>
  <Lines>9</Lines>
  <Paragraphs>2</Paragraphs>
  <TotalTime>21</TotalTime>
  <ScaleCrop>false</ScaleCrop>
  <LinksUpToDate>false</LinksUpToDate>
  <CharactersWithSpaces>1272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2019-07-11T09:38:00Z</dcterms:created>
  <dc:creator>Administrator</dc:creator>
  <cp:lastModifiedBy>回忆</cp:lastModifiedBy>
  <dcterms:modified xsi:type="dcterms:W3CDTF">2022-06-21T14:28:55Z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3D38489828204CE5BA94FAE8BDF35364</vt:lpwstr>
  </property>
</Properties>
</file>