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jc w:val="center"/>
        <w:rPr>
          <w:rFonts w:ascii="Arial" w:hAnsi="Arial" w:cs="Arial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曲阜市医疗保障局2019年政府信息公开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工作年度报告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Arial" w:eastAsia="方正小标宋简体" w:cs="Arial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一、总体情况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2019年，我局坚持以习近平新时代中国特色社会主义思想为指导，全面贯彻党的十九大和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z w:val="32"/>
          <w:szCs w:val="32"/>
        </w:rPr>
        <w:t>十九届二中、三中、四中全会精神，深入落实省委省政府关于全面推进政务公开工作部署，加强组织领导，健全工作机制，围绕中心工作，依法推进政府信息公开，着力打造服务型、阳光型机关，较好地完成了政府信息公开各项工作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一）加强组织领导，建立健全工作机制。2019年1月我局组建以来，将政务公开作为一项重点工作摆上重要议事日程，成立了政务公开工作领导小组，加强对政务公开工作的组织领导和统筹协调。各科室、单位切实履行“第一责任人”职责，定期研究、直接参与、协调解决政务公开有关工作和问题，形成了各司其职、齐抓共管的工作局面。制定了《曲阜市医疗保障局政务信息公开工作管理办法》，规定了政务公开范围、主体、方式、程序、监督和保障等内容，为开展政务公开工作提供了制度保障。制定了《曲阜市医疗保障局政府信息公开指南》，向社会公布了我局信息分类和编排体系、信息获取的方式途径，方便群众监督。制定了《曲阜市医疗保障局2019年政务公开工作要点》，形成了工作任务分解配档表，将每项工作落实到具体科室、单位，推动了工作落实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二）完善公开内容，推进重点领域信息公开。实行行政决策预公开，根据省、市部门信息公开目录调整的安排部署，进一步细化我局信息目录内容，编制了《曲阜市医疗保障局政府信息公开目录》，搭建了政务公开内容的基本框架。推动医保重点领域信息公开，强化规范性文件、政策性文件的公开与解读，加大医保待遇政策调整、医保支付方式改革、定点医药机制协议管理、医保服务价格调整、药品耗材招标采购、打击欺诈骗保等医疗保障、医疗救助等政策制度公开力度，增强了医保工作的公开性和透明度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三）围绕群众关切，拓展政务公开渠道。我局建立了以门户网站公开为主，微信公众号等各类宣传媒介等多种形式为辅的政务公开渠道。将门户网站作为信息公开的主阵地，积极推进门户网站的建设运行，规范完善了公开目录和内容，截止2019年底，在门户网站主动公开各类信息32条，涵盖机构职能、法规文件、统计数据等5项内容。注重主动公开与依申请公开相结合，切实维护群众权益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四）规范行政权力运行，提升政务公开实效。按照省、市医保系统权责清单制定和公开工作，制定了曲阜市医疗保障权责清单，制定了《曲阜市医疗保障局关于实施流程再造推进“一窗受理·一次办好”改革实施方案》，加快统一经办服务，按照证明材料最少、办事流程最简、办理时限最短、服务质量最优的“四个最”改革目标，对全部18类34项医保经办服务事项进行全面梳理、精简优化、流程再造，实现了统一经办事项名称、统一申办材料、统一经办方式、统一经办流程、统一办理时限、统一服务标准的“六统一”。对所有办理事项的事项名称、服务对象、办理方式、办理流程、申办材料、办理时限、监督电话、服务质量及满意度测评进行了明确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五）加强考核培训，提高政务公开能力。将政务公开工作纳入省局绩效考核工作体系，定期进行调度、通报，促进工作开展。把《政府信息公开条例》列入各处室、单位学习计划，邀请相关专家开展了《政府信息公开条例》工作培训,进一步增强公开透明理念，提高政务公开能力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875"/>
        <w:gridCol w:w="1275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本年新制作数量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本年新公开数量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规章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规范性文件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本年增/减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行政许可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5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其他对外管理服务事项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本年增/减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行政处罚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行政强制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行政事业性收费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3150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政府集中采购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3150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</w:tbl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Style w:val="5"/>
          <w:rFonts w:hint="eastAsia" w:ascii="仿宋_GB2312" w:hAnsi="&amp;quot" w:eastAsia="仿宋_GB2312" w:cs="Arial"/>
          <w:color w:val="333333"/>
          <w:sz w:val="32"/>
          <w:szCs w:val="32"/>
          <w:shd w:val="clear" w:color="auto" w:fill="FFFFFF"/>
        </w:rPr>
        <w:t>三、</w:t>
      </w:r>
      <w:r>
        <w:rPr>
          <w:rFonts w:hint="eastAsia" w:ascii="仿宋_GB2312" w:hAnsi="&amp;quot" w:eastAsia="仿宋_GB2312" w:cs="Arial"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5"/>
        <w:gridCol w:w="2130"/>
        <w:gridCol w:w="825"/>
        <w:gridCol w:w="765"/>
        <w:gridCol w:w="765"/>
        <w:gridCol w:w="825"/>
        <w:gridCol w:w="990"/>
        <w:gridCol w:w="720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申请人情况</w:t>
            </w:r>
          </w:p>
        </w:tc>
      </w:tr>
      <w:tr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2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7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商业企业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科研机构</w:t>
            </w:r>
          </w:p>
        </w:tc>
        <w:tc>
          <w:tcPr>
            <w:tcW w:w="8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社会公益组织</w:t>
            </w:r>
          </w:p>
        </w:tc>
        <w:tc>
          <w:tcPr>
            <w:tcW w:w="9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</w:tr>
      <w:tr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一、本年新收政府信息公开申请数量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二、上年结转政府信息公开申请数量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（一）予以公开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（三）不予公开</w:t>
            </w:r>
          </w:p>
          <w:p>
            <w:pPr>
              <w:widowControl/>
              <w:spacing w:after="180" w:line="420" w:lineRule="atLeast"/>
              <w:ind w:firstLine="0"/>
              <w:jc w:val="left"/>
              <w:rPr>
                <w:rFonts w:ascii="宋体"/>
              </w:rPr>
            </w:pP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1.属于国家秘密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2.其他法律行政法规禁止公开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3.危及“三安全一稳定”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4.保护第三方合法权益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5.属于三类内部事务信息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6.属于四类过程性信息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7.属于行政执法案卷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8.属于行政查询事项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（四）无法提供</w:t>
            </w: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1.本机关不掌握相关政府信息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2.没有现成信息需要另行制作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3.补正后申请内容仍不明确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（五）不予处理</w:t>
            </w: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1.信访举报投诉类申请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2.重复申请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3.要求提供公开出版物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4.无正当理由大量反复申请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（六）其他处理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（七）总计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四、结转下年度继续办理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</w:tbl>
    <w:p>
      <w:pPr>
        <w:pStyle w:val="2"/>
        <w:shd w:val="clear" w:color="auto" w:fill="FFFFFF"/>
        <w:spacing w:before="0" w:beforeAutospacing="0" w:after="240" w:afterAutospacing="0" w:line="560" w:lineRule="atLeast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&amp;quot" w:eastAsia="仿宋_GB2312" w:cs="Arial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5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宋体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</w:t>
            </w:r>
          </w:p>
          <w:p>
            <w:pPr>
              <w:widowControl/>
              <w:spacing w:after="180" w:line="420" w:lineRule="atLeast"/>
              <w:ind w:firstLine="0"/>
              <w:jc w:val="center"/>
              <w:rPr>
                <w:rFonts w:ascii="宋体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维</w:t>
            </w:r>
          </w:p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持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尚未审结</w:t>
            </w:r>
          </w:p>
        </w:tc>
        <w:tc>
          <w:tcPr>
            <w:tcW w:w="6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55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</w:tr>
    </w:tbl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五、存在的主要问题及改进情况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2019年，虽然我局政务公开工作取得了一定成效，但还存在部分工作人员主动意识不强、公开信息内容不够丰富、公开形式比较简单等问题，下一步，我局将按照市政府部署，围绕医疗保障领域重点工作，坚持“公开为常态、不公开为例外”的工作原则，加强学习培训，加大工作力度，完善公开的形式和内容，进一步增强政务公开的自觉性和主动性，保障人民群众依法行使知情权、参与权、表达权、监督权，不断提升医疗保障部门政务公开工作水平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六、其他需要报告的事项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无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&amp;quot" w:eastAsia="仿宋_GB2312" w:cs="Arial"/>
          <w:color w:val="333333"/>
          <w:sz w:val="32"/>
          <w:szCs w:val="32"/>
          <w:shd w:val="clear" w:color="auto" w:fill="FFFFFF"/>
        </w:rPr>
        <w:br w:type="textWrapping"/>
      </w: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15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1"/>
    <w:rsid w:val="007F7707"/>
    <w:rsid w:val="00B15AFE"/>
    <w:rsid w:val="00C454B1"/>
    <w:rsid w:val="02B0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</Words>
  <Characters>1409</Characters>
  <Lines>11</Lines>
  <Paragraphs>3</Paragraphs>
  <TotalTime>0</TotalTime>
  <ScaleCrop>false</ScaleCrop>
  <LinksUpToDate>false</LinksUpToDate>
  <CharactersWithSpaces>1653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2020-07-03T02:44:00Z</dcterms:created>
  <dc:creator>Administrator</dc:creator>
  <cp:lastModifiedBy>Alvin</cp:lastModifiedBy>
  <dcterms:modified xsi:type="dcterms:W3CDTF">2020-07-21T07:09:04Z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