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曲阜市教育局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20</w:t>
      </w:r>
      <w:r>
        <w:rPr>
          <w:rFonts w:hint="default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09年政府信息公开工作报告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outlineLvl w:val="9"/>
        <w:rPr>
          <w:rFonts w:ascii="仿宋_GB2312" w:hAnsi="微软雅黑" w:eastAsia="仿宋_GB2312" w:cs="仿宋_GB2312"/>
          <w:color w:val="3D3D3D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人民政府办公室关于做好2009年政府信息公开工作年度报告编制工作的通知》要求，现公布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lang w:eastAsia="zh-CN"/>
        </w:rPr>
        <w:t>曲阜市教育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局2009年度政府信息公开工作报告。报告由概述、政府信息公开的组织领导和制度建设情况、主动公开政府信息情况、政府信息公开的收费及减免情况、因政府信息公开申请提起行政复议和行政诉讼的情况、政府信息公开保密审查及监督检查情况、政府信息公开工作存在的主要问题及改进情况等部分组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本报告中所列数据的统计时限自2009年1月1日起至2009年12月31日止。本报告的电子版可在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人民政府门户网站（http://www.qufu.gov.cn/）信息公开专栏查阅。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2009年，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市教育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局政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府信息公开工作取得一些进展。全年，通过曲阜市人民政府门户网站政府信息公开专栏发布信息28条，为公众提供了比较好的政府信息公开服务。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二、政府信息公开组织领导和制度建设情况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曲阜市教育局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设有政府信息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公开工作领导小组，确保组织机构健全、工作人员到位、职责分工明确。逐步完善了依申请公开、限时公开、申请受理、考核监督、保密审查、责任追究等工作机制，进一步规范工作流程和工作标准。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2009年，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曲阜市教育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局共主动公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开政府信息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条。从内容分类看，业务工作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条，在各类新闻媒体发表新闻稿件</w:t>
      </w:r>
      <w:r>
        <w:rPr>
          <w:rFonts w:hint="eastAsia" w:ascii="仿宋_GB2312" w:hAnsi="仿宋_GB2312" w:eastAsia="仿宋_GB2312" w:cs="仿宋_GB2312"/>
          <w:b/>
          <w:bCs/>
          <w:color w:val="3D3D3D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四、政府信息公开申请办理情况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2009年，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曲阜市教育局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未收到政府信息公开申请。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五、政府信息公开收费及减免情况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无收费情况。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无申请复议、提出行政诉讼的情况。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接到上报相关公开信息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保密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审查负责人员对拟发信息均进行保密安全审核，在确认所提交内容为可公开内容后，再由信息公开工作人员对信息进行公开，对拟定公开材料进行事前保密审查、事后监督检查，确保所有公开信息准确无误、符合要求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八、存在的主要问题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我局政务信息公开工作目前还存在信息收集渠道不畅、信息公开不及时和公开内容较少等问题。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下一步一是充实主动公开内容。按照“以公开为原则，不公开为例外”的总体要求，进一步做好公开和不予公开两类信息的界定，完善政府信息公开目录。加强对公众关注度高的政府信息的梳理，探索重大决定草案公开制度，充分征求公众意见，推动科学、民主决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二是进一步规范、优化依申请公开的处理流程，加强政府信息公开咨询服务工作。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三是建设长效工作机制，切实加强督查力度，确保政府信息公开工作制度化、规范化。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2010年2月1日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97124"/>
    <w:rsid w:val="44497124"/>
    <w:rsid w:val="62C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qFormat/>
    <w:uiPriority w:val="0"/>
    <w:rPr>
      <w:rFonts w:hint="eastAsia" w:ascii="微软雅黑" w:hAnsi="微软雅黑" w:eastAsia="微软雅黑" w:cs="微软雅黑"/>
      <w:color w:val="3D3D3D"/>
      <w:sz w:val="22"/>
      <w:szCs w:val="22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2020-06-29T15:31:00Z</dcterms:created>
  <dc:creator>Administrator</dc:creator>
  <cp:lastModifiedBy>Administrator</cp:lastModifiedBy>
  <dcterms:modified xsi:type="dcterms:W3CDTF">2020-06-30T02:39:06Z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