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420"/>
        <w:textAlignment w:val="auto"/>
        <w:rPr>
          <w:rFonts w:hint="eastAsia" w:ascii="宋体" w:hAnsi="宋体"/>
          <w:sz w:val="15"/>
          <w:szCs w:val="15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420"/>
        <w:textAlignment w:val="auto"/>
        <w:rPr>
          <w:rFonts w:hint="eastAsia" w:ascii="宋体" w:hAnsi="宋体"/>
          <w:sz w:val="15"/>
          <w:szCs w:val="15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420"/>
        <w:textAlignment w:val="auto"/>
        <w:rPr>
          <w:rFonts w:hint="eastAsia" w:ascii="宋体" w:hAnsi="宋体"/>
          <w:sz w:val="15"/>
          <w:szCs w:val="15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420"/>
        <w:textAlignment w:val="auto"/>
        <w:rPr>
          <w:rFonts w:hint="eastAsia" w:ascii="宋体" w:hAnsi="宋体"/>
          <w:sz w:val="15"/>
          <w:szCs w:val="15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420"/>
        <w:textAlignment w:val="auto"/>
        <w:rPr>
          <w:rFonts w:hint="eastAsia" w:ascii="宋体" w:hAnsi="宋体"/>
          <w:sz w:val="15"/>
          <w:szCs w:val="15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ind w:right="-94"/>
        <w:jc w:val="center"/>
        <w:textAlignment w:val="auto"/>
        <w:rPr>
          <w:rFonts w:hint="default" w:ascii="楷体_GB2312" w:hAnsi="楷体_GB2312" w:eastAsia="方正仿宋简体"/>
          <w:b/>
          <w:bCs/>
          <w:sz w:val="32"/>
          <w:szCs w:val="28"/>
          <w:lang w:val="en-US" w:eastAsia="zh-CN"/>
        </w:rPr>
      </w:pPr>
      <w:bookmarkStart w:id="0" w:name="_GoBack"/>
      <w:r>
        <w:rPr>
          <w:rFonts w:hint="eastAsia" w:ascii="方正仿宋简体" w:hAnsi="方正仿宋简体" w:eastAsia="方正仿宋简体" w:cs="方正仿宋简体"/>
          <w:b/>
          <w:bCs/>
          <w:sz w:val="32"/>
          <w:szCs w:val="28"/>
          <w:highlight w:val="none"/>
        </w:rPr>
        <w:t>曲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28"/>
          <w:highlight w:val="none"/>
          <w:lang w:val="en-US" w:eastAsia="zh-CN"/>
        </w:rPr>
        <w:t>政发</w:t>
      </w:r>
      <w:bookmarkEnd w:id="0"/>
      <w:r>
        <w:rPr>
          <w:rFonts w:hint="eastAsia" w:ascii="方正楷体简体" w:hAnsi="方正楷体简体" w:eastAsia="方正楷体简体" w:cs="方正楷体简体"/>
          <w:b/>
          <w:bCs/>
          <w:color w:val="000000"/>
          <w:sz w:val="32"/>
          <w:highlight w:val="none"/>
        </w:rPr>
        <w:t>〔</w:t>
      </w:r>
      <w:r>
        <w:rPr>
          <w:rFonts w:hint="default" w:ascii="Times New Roman" w:hAnsi="Times New Roman" w:eastAsia="方正楷体简体" w:cs="Times New Roman"/>
          <w:b/>
          <w:bCs/>
          <w:sz w:val="32"/>
          <w:szCs w:val="28"/>
          <w:highlight w:val="none"/>
        </w:rPr>
        <w:t>20</w:t>
      </w:r>
      <w:r>
        <w:rPr>
          <w:rFonts w:hint="default" w:ascii="Times New Roman" w:hAnsi="Times New Roman" w:eastAsia="方正楷体简体" w:cs="Times New Roman"/>
          <w:b/>
          <w:bCs/>
          <w:sz w:val="32"/>
          <w:szCs w:val="28"/>
          <w:highlight w:val="none"/>
          <w:lang w:val="en-US" w:eastAsia="zh-CN"/>
        </w:rPr>
        <w:t>24</w:t>
      </w:r>
      <w:r>
        <w:rPr>
          <w:rFonts w:hint="default" w:ascii="Times New Roman" w:hAnsi="Times New Roman" w:eastAsia="方正楷体简体" w:cs="Times New Roman"/>
          <w:b/>
          <w:bCs/>
          <w:color w:val="000000"/>
          <w:sz w:val="32"/>
          <w:highlight w:val="none"/>
        </w:rPr>
        <w:t>〕</w:t>
      </w:r>
      <w:r>
        <w:rPr>
          <w:rFonts w:hint="default" w:ascii="Times New Roman" w:hAnsi="Times New Roman" w:eastAsia="方正楷体简体" w:cs="Times New Roman"/>
          <w:b/>
          <w:bCs/>
          <w:color w:val="000000"/>
          <w:sz w:val="32"/>
          <w:highlight w:val="none"/>
          <w:lang w:val="en-US" w:eastAsia="zh-CN"/>
        </w:rPr>
        <w:t>4</w:t>
      </w:r>
      <w:r>
        <w:rPr>
          <w:rFonts w:hint="eastAsia" w:ascii="方正楷体简体" w:hAnsi="方正楷体简体" w:eastAsia="方正楷体简体" w:cs="方正楷体简体"/>
          <w:b/>
          <w:bCs/>
          <w:sz w:val="32"/>
          <w:szCs w:val="28"/>
          <w:highlight w:val="none"/>
        </w:rPr>
        <w:t>号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jc w:val="center"/>
        <w:textAlignment w:val="auto"/>
        <w:rPr>
          <w:rFonts w:hint="eastAsia" w:ascii="黑体" w:eastAsia="黑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曲阜市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人民政府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公布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曲阜市城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镇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土地级别与基准地价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更新成果的通知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简体" w:cs="Times New Roman"/>
          <w:sz w:val="44"/>
          <w:szCs w:val="4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pacing w:val="-2"/>
          <w:w w:val="95"/>
          <w:sz w:val="32"/>
          <w:szCs w:val="32"/>
        </w:rPr>
        <w:t>各镇人民政府</w:t>
      </w:r>
      <w:r>
        <w:rPr>
          <w:rFonts w:hint="default" w:ascii="Times New Roman" w:hAnsi="Times New Roman" w:eastAsia="方正仿宋简体" w:cs="Times New Roman"/>
          <w:b/>
          <w:bCs/>
          <w:spacing w:val="-2"/>
          <w:w w:val="95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b/>
          <w:bCs/>
          <w:w w:val="95"/>
          <w:sz w:val="32"/>
          <w:szCs w:val="32"/>
          <w:lang w:val="en-US" w:eastAsia="zh-CN"/>
        </w:rPr>
        <w:t>街道办事处</w:t>
      </w:r>
      <w:r>
        <w:rPr>
          <w:rFonts w:hint="eastAsia" w:ascii="Times New Roman" w:hAnsi="Times New Roman" w:eastAsia="方正仿宋简体" w:cs="Times New Roman"/>
          <w:b/>
          <w:bCs/>
          <w:w w:val="95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b/>
          <w:bCs/>
          <w:w w:val="95"/>
          <w:sz w:val="32"/>
          <w:szCs w:val="32"/>
          <w:lang w:val="en-US" w:eastAsia="zh-CN"/>
        </w:rPr>
        <w:t>市政府各部门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 w:firstLine="643" w:firstLineChars="2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</w:rPr>
        <w:t>根据《自然资源部办公厅关于做好2022年度自然资源评价评估工作的通知》（自然资办发〔2022〕13号）和《山东省自然资源厅关于做好2022年度自然资源评价评估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lang w:eastAsia="zh-CN"/>
        </w:rPr>
        <w:t>有关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</w:rPr>
        <w:t>工作的通知》（鲁自然资字〔2022〕75号）文件精神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eastAsia="zh-CN"/>
        </w:rPr>
        <w:t>为加强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eastAsia="zh-CN"/>
        </w:rPr>
        <w:t>土地市场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eastAsia="zh-CN"/>
        </w:rPr>
        <w:t>监测和行业监管，保证基准地价的现势性，我市自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2023年以来开展了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新一轮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城镇土地级别调整与基准地价更新工作，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lang w:val="en-US" w:eastAsia="zh-CN"/>
        </w:rPr>
        <w:t>成果</w:t>
      </w:r>
      <w:r>
        <w:rPr>
          <w:rFonts w:hint="default" w:ascii="Times New Roman" w:hAnsi="Times New Roman" w:eastAsia="方正仿宋简体" w:cs="Times New Roman"/>
          <w:b/>
          <w:bCs/>
          <w:spacing w:val="4"/>
          <w:sz w:val="32"/>
          <w:szCs w:val="32"/>
        </w:rPr>
        <w:t>于</w:t>
      </w:r>
      <w:r>
        <w:rPr>
          <w:rFonts w:hint="default" w:ascii="Times New Roman" w:hAnsi="Times New Roman" w:eastAsia="方正仿宋简体" w:cs="Times New Roman"/>
          <w:b/>
          <w:bCs/>
          <w:spacing w:val="4"/>
          <w:sz w:val="32"/>
          <w:szCs w:val="32"/>
          <w:lang w:val="en-US" w:eastAsia="zh-CN"/>
        </w:rPr>
        <w:t>2024年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b/>
          <w:bCs/>
          <w:w w:val="95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b/>
          <w:bCs/>
          <w:w w:val="95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简体" w:cs="Times New Roman"/>
          <w:b/>
          <w:bCs/>
          <w:spacing w:val="-3"/>
          <w:w w:val="95"/>
          <w:sz w:val="32"/>
          <w:szCs w:val="32"/>
        </w:rPr>
        <w:t>日通过</w:t>
      </w:r>
      <w:r>
        <w:rPr>
          <w:rFonts w:hint="eastAsia" w:eastAsia="方正仿宋简体"/>
          <w:b/>
          <w:sz w:val="32"/>
          <w:szCs w:val="32"/>
        </w:rPr>
        <w:t>济宁市自然资源和规划局组织</w:t>
      </w:r>
      <w:r>
        <w:rPr>
          <w:rFonts w:hint="eastAsia" w:eastAsia="方正仿宋简体"/>
          <w:b/>
          <w:sz w:val="32"/>
          <w:szCs w:val="32"/>
          <w:lang w:val="en-US" w:eastAsia="zh-CN"/>
        </w:rPr>
        <w:t>省级</w:t>
      </w:r>
      <w:r>
        <w:rPr>
          <w:rFonts w:hint="eastAsia" w:eastAsia="方正仿宋简体"/>
          <w:b/>
          <w:sz w:val="32"/>
          <w:szCs w:val="32"/>
        </w:rPr>
        <w:t>专家</w:t>
      </w:r>
      <w:r>
        <w:rPr>
          <w:rFonts w:hint="eastAsia" w:eastAsia="方正仿宋简体"/>
          <w:b/>
          <w:sz w:val="32"/>
          <w:szCs w:val="32"/>
          <w:lang w:val="en-US" w:eastAsia="zh-CN"/>
        </w:rPr>
        <w:t>组</w:t>
      </w:r>
      <w:r>
        <w:rPr>
          <w:rFonts w:hint="eastAsia" w:eastAsia="方正仿宋简体"/>
          <w:b/>
          <w:sz w:val="32"/>
          <w:szCs w:val="32"/>
        </w:rPr>
        <w:t>验收</w:t>
      </w:r>
      <w:r>
        <w:rPr>
          <w:rFonts w:hint="eastAsia" w:ascii="Times New Roman" w:hAnsi="Times New Roman" w:eastAsia="方正仿宋简体" w:cs="Times New Roman"/>
          <w:b/>
          <w:bCs/>
          <w:spacing w:val="-3"/>
          <w:w w:val="95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bCs/>
          <w:spacing w:val="-3"/>
          <w:w w:val="95"/>
          <w:sz w:val="32"/>
          <w:szCs w:val="32"/>
        </w:rPr>
        <w:t>现予以公布</w:t>
      </w:r>
      <w:r>
        <w:rPr>
          <w:rFonts w:hint="eastAsia" w:ascii="Times New Roman" w:hAnsi="Times New Roman" w:eastAsia="方正仿宋简体" w:cs="Times New Roman"/>
          <w:b/>
          <w:bCs/>
          <w:spacing w:val="-3"/>
          <w:w w:val="95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b/>
          <w:bCs/>
          <w:spacing w:val="-3"/>
          <w:w w:val="95"/>
          <w:sz w:val="32"/>
          <w:szCs w:val="32"/>
          <w:lang w:val="en-US" w:eastAsia="zh-CN"/>
        </w:rPr>
        <w:t>望</w:t>
      </w:r>
      <w:r>
        <w:rPr>
          <w:rFonts w:hint="default" w:ascii="Times New Roman" w:hAnsi="Times New Roman" w:eastAsia="方正仿宋简体" w:cs="Times New Roman"/>
          <w:b/>
          <w:bCs/>
          <w:spacing w:val="-2"/>
          <w:sz w:val="32"/>
          <w:szCs w:val="32"/>
        </w:rPr>
        <w:t>全面</w:t>
      </w:r>
      <w:r>
        <w:rPr>
          <w:rFonts w:hint="eastAsia" w:ascii="Times New Roman" w:hAnsi="Times New Roman" w:eastAsia="方正仿宋简体" w:cs="Times New Roman"/>
          <w:b/>
          <w:bCs/>
          <w:spacing w:val="-2"/>
          <w:sz w:val="32"/>
          <w:szCs w:val="32"/>
          <w:lang w:val="en-US" w:eastAsia="zh-CN"/>
        </w:rPr>
        <w:t>贯彻</w:t>
      </w:r>
      <w:r>
        <w:rPr>
          <w:rFonts w:hint="default" w:ascii="Times New Roman" w:hAnsi="Times New Roman" w:eastAsia="方正仿宋简体" w:cs="Times New Roman"/>
          <w:b/>
          <w:bCs/>
          <w:spacing w:val="-2"/>
          <w:sz w:val="32"/>
          <w:szCs w:val="32"/>
        </w:rPr>
        <w:t>执行</w:t>
      </w:r>
      <w:r>
        <w:rPr>
          <w:rFonts w:hint="eastAsia" w:ascii="Times New Roman" w:hAnsi="Times New Roman" w:eastAsia="方正仿宋简体" w:cs="Times New Roman"/>
          <w:b/>
          <w:bCs/>
          <w:spacing w:val="-2"/>
          <w:sz w:val="32"/>
          <w:szCs w:val="32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line="600" w:lineRule="exact"/>
        <w:ind w:right="0" w:firstLine="643"/>
        <w:textAlignment w:val="auto"/>
        <w:rPr>
          <w:rFonts w:hint="eastAsia" w:ascii="Times New Roman" w:hAnsi="Times New Roman" w:eastAsia="方正仿宋简体"/>
          <w:b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本次公布实施的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新一轮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城镇基准地价成果，</w:t>
      </w:r>
      <w:r>
        <w:rPr>
          <w:rFonts w:hint="eastAsia" w:ascii="Times New Roman" w:hAnsi="Times New Roman" w:eastAsia="方正仿宋简体"/>
          <w:b/>
          <w:szCs w:val="32"/>
        </w:rPr>
        <w:t>根据国土空间规划确定的城镇开发边界、“三区三线”划定成果及现状地物情况，对本轮评价范围进行更新调整，最终确定本轮城区评价范围面积181.24平方公里，较上轮181.55平方公里，评价范围减小0.31平方公里</w:t>
      </w:r>
      <w:r>
        <w:rPr>
          <w:rFonts w:hint="eastAsia" w:ascii="Times New Roman" w:hAnsi="Times New Roman" w:eastAsia="方正仿宋简体"/>
          <w:b/>
          <w:szCs w:val="32"/>
          <w:lang w:eastAsia="zh-CN"/>
        </w:rPr>
        <w:t>。</w:t>
      </w:r>
      <w:r>
        <w:rPr>
          <w:rFonts w:hint="eastAsia" w:ascii="Times New Roman" w:hAnsi="Times New Roman" w:eastAsia="方正仿宋简体"/>
          <w:b/>
          <w:szCs w:val="32"/>
        </w:rPr>
        <w:t>其中主城区增加0.55平方公里，尼山片区减小0.23平方公里，石门山片区减小0.63平方公里；主要是对评价范围边界进行了部分调整。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line="600" w:lineRule="exact"/>
        <w:ind w:right="0" w:firstLine="643"/>
        <w:textAlignment w:val="auto"/>
        <w:rPr>
          <w:rFonts w:hint="default" w:ascii="Times New Roman" w:hAnsi="Times New Roman" w:eastAsia="方正仿宋简体" w:cs="Times New Roman"/>
          <w:b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本次土地级别调整与基准地价更新工作，在2020年更新的土地级别与基准地价基础上，</w:t>
      </w: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城区</w:t>
      </w:r>
      <w:r>
        <w:rPr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采用分类定级的方法将</w:t>
      </w:r>
      <w:r>
        <w:rPr>
          <w:rFonts w:hint="default" w:ascii="Times New Roman" w:hAnsi="Times New Roman" w:eastAsia="方正仿宋简体" w:cs="Times New Roman"/>
          <w:b/>
          <w:szCs w:val="32"/>
        </w:rPr>
        <w:t>商</w:t>
      </w:r>
      <w:r>
        <w:rPr>
          <w:rFonts w:hint="default" w:ascii="Times New Roman" w:hAnsi="Times New Roman" w:eastAsia="方正仿宋简体" w:cs="Times New Roman"/>
          <w:b/>
          <w:szCs w:val="32"/>
          <w:lang w:val="en-US" w:eastAsia="zh-CN"/>
        </w:rPr>
        <w:t>服</w:t>
      </w:r>
      <w:r>
        <w:rPr>
          <w:rFonts w:hint="default" w:ascii="Times New Roman" w:hAnsi="Times New Roman" w:eastAsia="方正仿宋简体" w:cs="Times New Roman"/>
          <w:b/>
          <w:szCs w:val="32"/>
        </w:rPr>
        <w:t>、住宅、工业、公共管理与公共服务四类土地用途区分地价体系，并将四类土地用途均划分为四</w:t>
      </w:r>
      <w:r>
        <w:rPr>
          <w:rFonts w:hint="eastAsia" w:ascii="Times New Roman" w:hAnsi="Times New Roman" w:eastAsia="方正仿宋简体" w:cs="Times New Roman"/>
          <w:b/>
          <w:szCs w:val="32"/>
          <w:lang w:val="en-US" w:eastAsia="zh-CN"/>
        </w:rPr>
        <w:t>个</w:t>
      </w:r>
      <w:r>
        <w:rPr>
          <w:rFonts w:hint="default" w:ascii="Times New Roman" w:hAnsi="Times New Roman" w:eastAsia="方正仿宋简体" w:cs="Times New Roman"/>
          <w:b/>
          <w:szCs w:val="32"/>
        </w:rPr>
        <w:t>土地级别，细化了级别和区片范围，</w:t>
      </w:r>
      <w:r>
        <w:rPr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同时，以近3年的土地市场资料为依据，确定各区片、级别基准地价。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643" w:firstLineChars="200"/>
        <w:textAlignment w:val="auto"/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对城区评价范围外的6个建制镇制定了基准地价修正体系。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曲阜市建制镇驻地基准地价更新成果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中</w:t>
      </w:r>
      <w:r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</w:rPr>
        <w:t>一等建制镇包括姚村镇、防山镇、尼山镇</w:t>
      </w:r>
      <w:r>
        <w:rPr>
          <w:rFonts w:hint="eastAsia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</w:rPr>
        <w:t>二等建制镇包括王庄镇、石门山镇、吴村镇。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 w:firstLine="643" w:firstLineChars="2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三、本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通知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自公布之日起执行。2020年7月27日公布的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《曲阜市人民政府关于更新曲阜市城区土地级别与基准地价的通知》（曲政发</w:t>
      </w:r>
      <w:r>
        <w:rPr>
          <w:rFonts w:hint="eastAsia" w:ascii="方正仿宋简体" w:hAnsi="方正仿宋简体" w:eastAsia="方正仿宋简体" w:cs="方正仿宋简体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〔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2020</w:t>
      </w:r>
      <w:r>
        <w:rPr>
          <w:rFonts w:hint="eastAsia" w:ascii="方正仿宋简体" w:hAnsi="方正仿宋简体" w:eastAsia="方正仿宋简体" w:cs="方正仿宋简体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〕</w:t>
      </w:r>
      <w:r>
        <w:rPr>
          <w:rFonts w:hint="eastAsia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7号）</w:t>
      </w:r>
      <w:r>
        <w:rPr>
          <w:rFonts w:hint="default" w:ascii="Times New Roman" w:hAnsi="Times New Roman" w:eastAsia="方正仿宋简体" w:cs="Times New Roman"/>
          <w:b/>
          <w:bCs/>
          <w:spacing w:val="8"/>
          <w:w w:val="95"/>
          <w:sz w:val="32"/>
          <w:szCs w:val="32"/>
          <w:highlight w:val="none"/>
          <w:lang w:val="en-US" w:eastAsia="zh-CN"/>
        </w:rPr>
        <w:t>同时废止。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/>
        <w:textAlignment w:val="auto"/>
        <w:rPr>
          <w:rFonts w:hint="default" w:ascii="Times New Roman" w:hAnsi="Times New Roman" w:eastAsia="方正仿宋简体" w:cs="Times New Roman"/>
          <w:b/>
          <w:bCs/>
          <w:spacing w:val="-3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 w:firstLine="631" w:firstLineChars="200"/>
        <w:textAlignment w:val="auto"/>
        <w:rPr>
          <w:rFonts w:hint="default" w:ascii="Times New Roman" w:hAnsi="Times New Roman" w:eastAsia="方正仿宋简体" w:cs="Times New Roman"/>
          <w:b/>
          <w:bCs/>
          <w:spacing w:val="-1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pacing w:val="-3"/>
        </w:rPr>
        <w:t>附件</w:t>
      </w:r>
      <w:r>
        <w:rPr>
          <w:rFonts w:hint="eastAsia" w:ascii="Times New Roman" w:hAnsi="Times New Roman" w:eastAsia="方正仿宋简体" w:cs="Times New Roman"/>
          <w:b/>
          <w:bCs/>
          <w:spacing w:val="-3"/>
          <w:lang w:eastAsia="zh-CN"/>
        </w:rPr>
        <w:t>：</w:t>
      </w:r>
      <w:r>
        <w:rPr>
          <w:rFonts w:hint="eastAsia" w:ascii="Times New Roman" w:hAnsi="Times New Roman" w:eastAsia="方正仿宋简体" w:cs="Times New Roman"/>
          <w:b/>
          <w:bCs/>
          <w:spacing w:val="-3"/>
          <w:lang w:val="en-US" w:eastAsia="zh-CN"/>
        </w:rPr>
        <w:t>1.</w:t>
      </w:r>
      <w:r>
        <w:rPr>
          <w:rFonts w:hint="default" w:ascii="Times New Roman" w:hAnsi="Times New Roman" w:eastAsia="方正仿宋简体" w:cs="Times New Roman"/>
          <w:b/>
          <w:bCs/>
          <w:lang w:val="en-US" w:eastAsia="zh-CN"/>
        </w:rPr>
        <w:t>2023年</w:t>
      </w:r>
      <w:r>
        <w:rPr>
          <w:rFonts w:hint="default" w:ascii="Times New Roman" w:hAnsi="Times New Roman" w:eastAsia="方正仿宋简体" w:cs="Times New Roman"/>
          <w:b/>
          <w:bCs/>
          <w:spacing w:val="-1"/>
          <w:lang w:eastAsia="zh-CN"/>
        </w:rPr>
        <w:t>曲阜市</w:t>
      </w:r>
      <w:r>
        <w:rPr>
          <w:rFonts w:hint="default" w:ascii="Times New Roman" w:hAnsi="Times New Roman" w:eastAsia="方正仿宋简体" w:cs="Times New Roman"/>
          <w:b/>
          <w:bCs/>
          <w:spacing w:val="-1"/>
          <w:lang w:val="en-US" w:eastAsia="zh-CN"/>
        </w:rPr>
        <w:t>城镇</w:t>
      </w:r>
      <w:r>
        <w:rPr>
          <w:rFonts w:hint="default" w:ascii="Times New Roman" w:hAnsi="Times New Roman" w:eastAsia="方正仿宋简体" w:cs="Times New Roman"/>
          <w:b/>
          <w:bCs/>
          <w:spacing w:val="-1"/>
        </w:rPr>
        <w:t>基准地价</w:t>
      </w:r>
      <w:r>
        <w:rPr>
          <w:rFonts w:hint="default" w:ascii="Times New Roman" w:hAnsi="Times New Roman" w:eastAsia="方正仿宋简体" w:cs="Times New Roman"/>
          <w:b/>
          <w:bCs/>
          <w:spacing w:val="-1"/>
          <w:lang w:val="en-US" w:eastAsia="zh-CN"/>
        </w:rPr>
        <w:t>更新成果表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 w:firstLine="1506" w:firstLineChars="500"/>
        <w:textAlignment w:val="auto"/>
        <w:rPr>
          <w:rFonts w:hint="default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  <w:t>2.</w:t>
      </w:r>
      <w:r>
        <w:rPr>
          <w:rFonts w:hint="default" w:ascii="Times New Roman" w:hAnsi="Times New Roman" w:eastAsia="方正仿宋简体" w:cs="Times New Roman"/>
          <w:b/>
          <w:bCs/>
          <w:spacing w:val="-2"/>
          <w:w w:val="95"/>
          <w:lang w:eastAsia="zh-CN"/>
        </w:rPr>
        <w:t>曲阜市</w:t>
      </w:r>
      <w:r>
        <w:rPr>
          <w:rFonts w:hint="default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  <w:t>城区各用途土地级别（区片）范围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right="0" w:rightChars="0" w:firstLine="1506" w:firstLineChars="500"/>
        <w:textAlignment w:val="auto"/>
        <w:rPr>
          <w:rFonts w:hint="default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  <w:t>3.</w:t>
      </w:r>
      <w:r>
        <w:rPr>
          <w:rFonts w:hint="default" w:ascii="Times New Roman" w:hAnsi="Times New Roman" w:eastAsia="方正仿宋简体" w:cs="Times New Roman"/>
          <w:b/>
          <w:bCs/>
          <w:spacing w:val="-2"/>
          <w:w w:val="95"/>
          <w:lang w:val="en-US" w:eastAsia="zh-CN"/>
        </w:rPr>
        <w:t>2023年曲阜市城区各级别基准地价图</w:t>
      </w:r>
    </w:p>
    <w:p>
      <w:pPr>
        <w:pStyle w:val="3"/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仿宋简体" w:cs="Times New Roman"/>
          <w:b/>
          <w:bCs/>
        </w:rPr>
      </w:pPr>
    </w:p>
    <w:p>
      <w:pPr>
        <w:pStyle w:val="3"/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仿宋简体" w:cs="Times New Roman"/>
          <w:b/>
          <w:bCs/>
        </w:rPr>
      </w:pPr>
    </w:p>
    <w:p>
      <w:pPr>
        <w:pStyle w:val="3"/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仿宋简体" w:cs="Times New Roman"/>
          <w:b/>
          <w:bCs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315" w:leftChars="0" w:right="0" w:hanging="315" w:hangingChars="10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-3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spacing w:val="-3"/>
          <w:lang w:val="en-US" w:eastAsia="zh-CN"/>
        </w:rPr>
        <w:t xml:space="preserve">                      </w:t>
      </w:r>
      <w:r>
        <w:rPr>
          <w:rFonts w:hint="default" w:ascii="Times New Roman" w:hAnsi="Times New Roman" w:eastAsia="方正仿宋简体" w:cs="Times New Roman"/>
          <w:b/>
          <w:bCs/>
          <w:spacing w:val="-3"/>
          <w:lang w:eastAsia="zh-CN"/>
        </w:rPr>
        <w:t>曲阜市</w:t>
      </w:r>
      <w:r>
        <w:rPr>
          <w:rFonts w:hint="default" w:ascii="Times New Roman" w:hAnsi="Times New Roman" w:eastAsia="方正仿宋简体" w:cs="Times New Roman"/>
          <w:b/>
          <w:bCs/>
          <w:spacing w:val="-3"/>
        </w:rPr>
        <w:t>人民政府</w:t>
      </w:r>
      <w:r>
        <w:rPr>
          <w:rFonts w:hint="default" w:ascii="Times New Roman" w:hAnsi="Times New Roman" w:eastAsia="方正仿宋简体" w:cs="Times New Roman"/>
          <w:b/>
          <w:bCs/>
          <w:spacing w:val="-3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</w:pP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t xml:space="preserve">                   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zh-CN" w:eastAsia="zh-CN" w:bidi="zh-CN"/>
        </w:rPr>
        <w:t>20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t>24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zh-CN" w:eastAsia="zh-CN" w:bidi="zh-CN"/>
        </w:rPr>
        <w:t>年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t>5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zh-CN" w:eastAsia="zh-CN" w:bidi="zh-CN"/>
        </w:rPr>
        <w:t>月</w:t>
      </w:r>
      <w:r>
        <w:rPr>
          <w:rFonts w:hint="eastAsia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t>15</w:t>
      </w: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t xml:space="preserve">日      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/>
          <w:bCs/>
          <w:spacing w:val="-3"/>
          <w:kern w:val="2"/>
          <w:sz w:val="32"/>
          <w:szCs w:val="32"/>
          <w:lang w:val="en-US" w:eastAsia="zh-CN" w:bidi="zh-CN"/>
        </w:rPr>
      </w:pPr>
      <w:r>
        <w:rPr>
          <w:rFonts w:hint="default" w:ascii="Times New Roman" w:hAnsi="Times New Roman" w:eastAsia="方正仿宋简体" w:cs="Times New Roman"/>
          <w:b/>
          <w:bCs/>
          <w:spacing w:val="-3"/>
          <w:kern w:val="2"/>
          <w:sz w:val="32"/>
          <w:szCs w:val="32"/>
          <w:lang w:val="en-US" w:eastAsia="zh-CN" w:bidi="zh-CN"/>
        </w:rPr>
        <w:br w:type="page"/>
      </w:r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sz w:val="32"/>
          <w:szCs w:val="32"/>
        </w:rPr>
        <w:t>附件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 xml:space="preserve">1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</w:rPr>
        <w:t>（一）曲阜市城镇基准地价更新成果表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曲阜市城区基准地价更新成果表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b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（商服用地）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917"/>
        <w:gridCol w:w="1850"/>
        <w:gridCol w:w="1850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7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级别</w:t>
            </w:r>
          </w:p>
        </w:tc>
        <w:tc>
          <w:tcPr>
            <w:tcW w:w="1058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区片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楼面地价</w:t>
            </w:r>
          </w:p>
        </w:tc>
        <w:tc>
          <w:tcPr>
            <w:tcW w:w="2042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基准地价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1678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3020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</w:t>
            </w: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1292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2325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1292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2325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981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1765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1058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1905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</w:t>
            </w: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722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1300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875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1050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Ⅳ-3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717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860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</w:p>
    <w:p>
      <w:pPr>
        <w:pStyle w:val="5"/>
        <w:rPr>
          <w:rFonts w:hint="eastAsia"/>
          <w:b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曲阜市城区基准地价更新成果表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（住宅用地）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917"/>
        <w:gridCol w:w="1850"/>
        <w:gridCol w:w="1850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7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级别</w:t>
            </w:r>
          </w:p>
        </w:tc>
        <w:tc>
          <w:tcPr>
            <w:tcW w:w="1058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区片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楼面地价</w:t>
            </w:r>
          </w:p>
        </w:tc>
        <w:tc>
          <w:tcPr>
            <w:tcW w:w="2042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基准地价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1021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1700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2550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1519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2735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Ⅰ-3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1611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2900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Ⅰ-4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1378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2480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</w:t>
            </w: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1222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2200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1222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2200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1011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1820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</w:t>
            </w: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Ⅳ-1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794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1430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900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1080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9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058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Ⅳ-3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742</w:t>
            </w:r>
          </w:p>
        </w:tc>
        <w:tc>
          <w:tcPr>
            <w:tcW w:w="17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890</w:t>
            </w:r>
          </w:p>
        </w:tc>
        <w:tc>
          <w:tcPr>
            <w:tcW w:w="174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曲阜市城区基准地价更新成果表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0" w:firstLineChars="0"/>
        <w:jc w:val="center"/>
        <w:textAlignment w:val="auto"/>
        <w:rPr>
          <w:rFonts w:hint="eastAsia"/>
          <w:b/>
          <w:bCs w:val="0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（工业用地）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2"/>
        <w:gridCol w:w="2408"/>
        <w:gridCol w:w="2325"/>
        <w:gridCol w:w="2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1105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级别</w:t>
            </w:r>
          </w:p>
        </w:tc>
        <w:tc>
          <w:tcPr>
            <w:tcW w:w="1329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区片</w:t>
            </w:r>
          </w:p>
        </w:tc>
        <w:tc>
          <w:tcPr>
            <w:tcW w:w="2566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基准地价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110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283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1283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控制区Ⅰ</w:t>
            </w: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控制区Ⅰ-1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685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控制区Ⅰ-2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570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490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</w:t>
            </w: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Ⅱ-1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414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Ⅱ-2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414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05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1329" w:type="pct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367</w:t>
            </w:r>
          </w:p>
        </w:tc>
        <w:tc>
          <w:tcPr>
            <w:tcW w:w="218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</w:t>
            </w:r>
          </w:p>
        </w:tc>
      </w:tr>
    </w:tbl>
    <w:p>
      <w:pPr>
        <w:jc w:val="center"/>
        <w:rPr>
          <w:rFonts w:ascii="Times New Roman" w:hAnsi="Times New Roman"/>
          <w:b/>
          <w:bCs w:val="0"/>
          <w:sz w:val="32"/>
          <w:szCs w:val="32"/>
        </w:rPr>
      </w:pPr>
    </w:p>
    <w:p>
      <w:pPr>
        <w:pStyle w:val="2"/>
        <w:rPr>
          <w:b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曲阜市城区基准地价更新成果表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b/>
          <w:bCs w:val="0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（公共管理与公共服务用地）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132"/>
        <w:gridCol w:w="1132"/>
        <w:gridCol w:w="1133"/>
        <w:gridCol w:w="1133"/>
        <w:gridCol w:w="1133"/>
        <w:gridCol w:w="1133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级别</w:t>
            </w:r>
          </w:p>
        </w:tc>
        <w:tc>
          <w:tcPr>
            <w:tcW w:w="625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区片</w:t>
            </w:r>
          </w:p>
        </w:tc>
        <w:tc>
          <w:tcPr>
            <w:tcW w:w="1250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公服一类</w:t>
            </w:r>
          </w:p>
        </w:tc>
        <w:tc>
          <w:tcPr>
            <w:tcW w:w="1250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公服二类</w:t>
            </w:r>
          </w:p>
        </w:tc>
        <w:tc>
          <w:tcPr>
            <w:tcW w:w="1250" w:type="pct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公服三类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625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Ⅰ-1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1614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108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978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491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Ⅰ-2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1438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875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417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Ⅱ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1198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725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380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Ⅲ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990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310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</w:t>
            </w: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Ⅳ-1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785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490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276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Ⅳ-2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716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276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5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Ⅳ-3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555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335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258</w:t>
            </w:r>
          </w:p>
        </w:tc>
        <w:tc>
          <w:tcPr>
            <w:tcW w:w="106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</w:t>
            </w:r>
          </w:p>
        </w:tc>
      </w:tr>
    </w:tbl>
    <w:p>
      <w:pPr>
        <w:rPr>
          <w:rFonts w:hint="eastAsia" w:ascii="方正仿宋简体" w:hAnsi="方正仿宋简体" w:eastAsia="方正仿宋简体" w:cs="方正仿宋简体"/>
          <w:b/>
          <w:bCs w:val="0"/>
          <w:color w:val="000000"/>
          <w:kern w:val="0"/>
          <w:sz w:val="21"/>
          <w:szCs w:val="21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kern w:val="0"/>
          <w:sz w:val="21"/>
          <w:szCs w:val="21"/>
        </w:rPr>
        <w:t>注：公服一类包括机关团体用地、新闻出版用地、教育用地Ⅰ、科研用地、医疗卫生用地Ⅰ、文化设施用地、体育用地；公服二类包括教育用地Ⅱ、医疗卫生用地Ⅱ、社会福利用地；公服三类包括公用设施用地、公园与绿地用地。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曲阜市建制镇驻地基准地价更新成果表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9"/>
        <w:gridCol w:w="1511"/>
        <w:gridCol w:w="1510"/>
        <w:gridCol w:w="1511"/>
        <w:gridCol w:w="1510"/>
        <w:gridCol w:w="15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667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类型</w:t>
            </w:r>
          </w:p>
        </w:tc>
        <w:tc>
          <w:tcPr>
            <w:tcW w:w="166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一等建制镇</w:t>
            </w:r>
          </w:p>
        </w:tc>
        <w:tc>
          <w:tcPr>
            <w:tcW w:w="166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二等建制镇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67" w:type="pct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元/㎡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万元/亩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990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865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990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865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工业用地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330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315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3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公共管理与公共服务用地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公服一类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595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555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3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公服二类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375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335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3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Cs w:val="21"/>
              </w:rPr>
              <w:t>公服三类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276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258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kern w:val="0"/>
          <w:sz w:val="21"/>
          <w:szCs w:val="21"/>
        </w:rPr>
        <w:t>注：一等建制镇包括姚村镇、防山镇、尼山镇，二等建制镇包括王庄镇、石门山镇、吴村镇；公共管理与公共服务用地分类与城区一致。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val="en-US" w:eastAsia="zh-CN"/>
        </w:rPr>
        <w:t>二</w:t>
      </w:r>
      <w:r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eastAsia="zh-CN"/>
        </w:rPr>
        <w:t>）</w:t>
      </w:r>
      <w:r>
        <w:rPr>
          <w:rFonts w:hint="eastAsia" w:ascii="方正楷体简体" w:hAnsi="方正楷体简体" w:eastAsia="方正楷体简体" w:cs="方正楷体简体"/>
          <w:b/>
          <w:bCs w:val="0"/>
          <w:sz w:val="32"/>
          <w:szCs w:val="32"/>
          <w:lang w:val="en-US" w:eastAsia="zh-CN"/>
        </w:rPr>
        <w:t>基准地价内涵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城区基准地价内涵包括以下内容：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1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土地权利状况为完整的国有土地使用权。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2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基准日：20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年1月1日。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3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土地用途：包含商服用地、住宅用地、工业用地和公共管理与公共服务用地。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4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设定容积率：商服用地1.8；住宅用地Ⅰ-1区片为1.5，其余部分设定为1.8；工业用地1.0；公共管理与公共服务用地分别为1.0（公服三类）和1.4（公服一类、公服二类）。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尼山、石门山片区：商服用地1.2，住宅用地1.2，公共管理与公共服务用地为1.0。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5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土地使用年期为各类用地法定最高年期，即商服用地40年，住宅用地70年，工业用地50年，公共管理与公共服务用地50年。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6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开发程度设定：商服、住宅、公共管理与公共服务用地土地平均开发程度设定为Ⅰ、Ⅱ、Ⅲ级地“七通一平”（包括通路、供电、通讯、供水、排水、供气、供热以及场地平整）；Ⅳ级地“五通一平”（包括通路、供电、通讯、供水、排水以及场地平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工业用地土地平均开发程度设定为控制区Ⅰ、Ⅰ、Ⅱ级地“七通一平”（包括通路、供电、通讯、供水、排水、供气、供热以及场地平整）；Ⅲ级地“五通一平”（包括通路、供电、通讯、供水、排水以及场地平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尼山、石门山片区：“五通一平”（包括通路、供电、通讯、供水、排水以及场地平整）。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建制镇驻地基准地价内涵包括以下内容：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1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土地权利状况为完整的国有土地使用权。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2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基准日：20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年1月1日。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3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土地用途：包含商服用地、住宅用地、工业用地和公共管理与公共服务用地。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4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设定容积率：商服用地1.2，住宅用地1.2，工业用地1.0，公共管理与公共服务用地为1.0。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5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土地使用年期为各类用地法定最高年期，即商服用地40年，住宅用地70年，工业用地50年，公共管理与公共服务用地50年。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sectPr>
          <w:footerReference r:id="rId3" w:type="default"/>
          <w:pgSz w:w="11906" w:h="16838"/>
          <w:pgMar w:top="2154" w:right="1474" w:bottom="2041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6</w:t>
      </w:r>
      <w:r>
        <w:rPr>
          <w:rFonts w:hint="eastAsia" w:eastAsia="方正仿宋简体" w:cs="Times New Roman"/>
          <w:b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</w:rPr>
        <w:t>开发程度设定：“五通一平”（包括通路、供电、通讯、供水、排水以及场地平整）</w:t>
      </w:r>
    </w:p>
    <w:p>
      <w:pPr>
        <w:pageBreakBefore/>
        <w:jc w:val="left"/>
        <w:rPr>
          <w:rFonts w:hint="default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简体" w:cs="Times New Roman"/>
          <w:b/>
          <w:sz w:val="32"/>
          <w:szCs w:val="32"/>
          <w:lang w:val="en-US" w:eastAsia="zh-CN"/>
        </w:rPr>
        <w:t>2</w:t>
      </w:r>
      <w:r>
        <w:rPr>
          <w:rFonts w:hint="eastAsia" w:ascii="方正黑体简体" w:hAnsi="方正黑体简体" w:eastAsia="方正黑体简体" w:cs="方正黑体简体"/>
          <w:b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        曲阜市城区各用途土地级别（区片）范围</w:t>
      </w:r>
    </w:p>
    <w:tbl>
      <w:tblPr>
        <w:tblStyle w:val="9"/>
        <w:tblW w:w="1344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848"/>
        <w:gridCol w:w="10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4" w:hRule="atLeast"/>
          <w:tblHeader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用途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级别（区片）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商服用地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东至秉礼路以北-体育公园东侧跑泉街-弘道路;南至大沂河;西至归德路-天华路;北至万仞宫墙北墙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东至鲁故城遗址东侧-铁西路;南至春秋西路-大沂河;西至曲师大西侧-金兰路-师大西路;北至岐黄街-圣地家园北侧东西路-延恩路;扣除Ⅰ级地区域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东至大阖路;南至蓼河-孔子大道;西至菱河;北至大沂河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Ⅲ-1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东至京台高速-兖石铁路;南至大沂河;西至京福线-工业一路;北至长春路;扣除Ⅰ、Ⅱ级地区域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Ⅲ-2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东至兖石铁路-曲阜东站;南至鲁南高铁-高速北二路-杏坛路；西至金兰路；北至大沂河-盛文路;扣除Ⅱ级地区域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城区I、Ⅱ、Ⅲ级地以外区域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尼山片区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Ⅳ-3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石门山片区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万仞宫墙以内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东至体育公园东侧跑泉街;南至大沂河;西至天华路;北至万仞宫墙南墙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Ⅰ-3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东至大阖路-合德路;南至学院路;西至尼山路;北至大沂河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Ⅰ-4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东至天华路;南至大沂河；西至金兰路；北至圣城花园南侧东西路-裕隆路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东至鲁故城遗址东侧-铁西路;南至大沂河;西至工业一路;北至阳春西路-岐黄街-圣-延恩花园北侧;扣除I级地区域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东至铁西路;南至鲁南高铁-杏坛路-高速北二路;西至金兰路;北至大沂河;扣除I级地区域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Ⅲ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东至仁信路-兖石铁路-曲阜东站;南至鲁南高铁-日兰高速;西至工业西路-工业一路;北至校场西路-长春路-盛文路;扣除I、Ⅱ级地区域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城区I、Ⅱ、Ⅲ级地以外区域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尼山片区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Ⅳ-3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石门山片区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控制区Ⅰ-1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东至鲁国故城遗址西侧-铁西路;南至大沂河;西至西宾路-苗孔路;北至校场路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控制区Ⅰ-2</w:t>
            </w:r>
          </w:p>
        </w:tc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东至合德路;南至蓼河;西至蓼河;北至大沂河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控制区I-1东曲阜经济开发区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东至京沪高铁-京台高速;南至大沂河;西至京福线;北至长春路;扣除控制区I、I级地区域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东至兖石铁路-曲阜东站;南至鲁南高铁-高速北二路-杏坛路;西至金兰路;北至大沂河-盛文路;扣除控制区区域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Ⅲ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控制区I、I、Ⅱ级地以外区域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东至鲁国故城遗址西侧-邮政银行西侧;南至大沂河;西至西宾路-苗孔路;北至校场路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Ⅰ-2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东至合德路;南至蓼河;西至蓼河;北至大沂河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Ⅱ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东至铁西路;南至鲁南高铁-杏坛路;西至曲师大西侧-金兰路;北至圣地家园北侧东西路;扣除I级区域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Ⅲ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东至仁信路-兖石铁路-曲阜东站;南至鲁南高铁-高速北二路-杏坛路;西至工业一路;北至校场路-长春路;扣除I、Ⅱ级区域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Ⅳ-1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城区I、Ⅱ、Ⅲ级地以外区域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Ⅳ-2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尼山片区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Ⅳ-3</w:t>
            </w:r>
          </w:p>
        </w:tc>
        <w:tc>
          <w:tcPr>
            <w:tcW w:w="10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石门山片区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1"/>
          <w:szCs w:val="21"/>
          <w:lang w:val="en-US" w:eastAsia="zh-CN"/>
        </w:rPr>
        <w:t>注：城区各类用途各土地级别(区片)范围详见基准地价图。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曲阜市建制镇(姚村镇、防山镇、尼山镇，王庄镇、石门山镇、吴村镇)基准地价土地级别范围为各建制镇驻地范围。</w:t>
      </w:r>
    </w:p>
    <w:p>
      <w:pP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zh-CN" w:eastAsia="zh-CN"/>
        </w:rPr>
      </w:pPr>
    </w:p>
    <w:p>
      <w:pPr>
        <w:pStyle w:val="2"/>
        <w:rPr>
          <w:rFonts w:hint="eastAsia"/>
          <w:lang w:val="zh-CN" w:eastAsia="zh-CN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黑体简体" w:hAnsi="方正黑体简体" w:eastAsia="方正黑体简体" w:cs="方正黑体简体"/>
          <w:b/>
          <w:sz w:val="32"/>
          <w:szCs w:val="32"/>
        </w:rPr>
        <w:t>附件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b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       2023年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曲阜市城区各级别基准地价图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drawing>
          <wp:inline distT="0" distB="0" distL="114300" distR="114300">
            <wp:extent cx="8258810" cy="4598670"/>
            <wp:effectExtent l="0" t="0" r="8890" b="11430"/>
            <wp:docPr id="4" name="图片 1" descr="曲阜城区--商业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曲阜城区--商业分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drawing>
          <wp:inline distT="0" distB="0" distL="114300" distR="114300">
            <wp:extent cx="8595995" cy="5219700"/>
            <wp:effectExtent l="0" t="0" r="14605" b="0"/>
            <wp:docPr id="1" name="图片 2" descr="曲阜城区--住宅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曲阜城区--住宅分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599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drawing>
          <wp:inline distT="0" distB="0" distL="114300" distR="114300">
            <wp:extent cx="8567420" cy="5208270"/>
            <wp:effectExtent l="0" t="0" r="5080" b="11430"/>
            <wp:docPr id="3" name="图片 3" descr="曲阜城区--工业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曲阜城区--工业分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7420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drawing>
          <wp:inline distT="0" distB="0" distL="114300" distR="114300">
            <wp:extent cx="8833485" cy="5172075"/>
            <wp:effectExtent l="0" t="0" r="5715" b="9525"/>
            <wp:docPr id="2" name="图片 4" descr="曲阜城区--公服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曲阜城区--公服分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5"/>
        <w:rPr>
          <w:rFonts w:hint="eastAsia"/>
          <w:lang w:val="zh-CN" w:eastAsia="zh-CN"/>
        </w:rPr>
      </w:pPr>
    </w:p>
    <w:p>
      <w:pPr>
        <w:pStyle w:val="2"/>
        <w:ind w:left="0" w:leftChars="0" w:firstLine="0" w:firstLineChars="0"/>
        <w:rPr>
          <w:rFonts w:hint="eastAsia" w:ascii="方正仿宋简体" w:eastAsia="方正仿宋简体"/>
          <w:b/>
          <w:sz w:val="32"/>
          <w:szCs w:val="32"/>
        </w:rPr>
      </w:pPr>
    </w:p>
    <w:p>
      <w:pPr>
        <w:spacing w:line="580" w:lineRule="exact"/>
        <w:ind w:firstLine="321" w:firstLineChars="100"/>
        <w:textAlignment w:val="baseline"/>
        <w:rPr>
          <w:rFonts w:eastAsia="方正仿宋简体"/>
          <w:b/>
          <w:sz w:val="28"/>
          <w:szCs w:val="28"/>
        </w:rPr>
      </w:pPr>
      <w:r>
        <w:rPr>
          <w:rFonts w:hint="eastAsia" w:ascii="方正仿宋简体" w:eastAsia="方正仿宋简体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6985</wp:posOffset>
                </wp:positionV>
                <wp:extent cx="5610225" cy="0"/>
                <wp:effectExtent l="0" t="4445" r="0" b="508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95pt;margin-top:0.55pt;height:0pt;width:441.75pt;z-index:251660288;mso-width-relative:page;mso-height-relative:page;" filled="f" stroked="t" coordsize="21600,21600" o:gfxdata="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f8rIL0gAAAAUBAAAPAAAAAAAAAAEAIAAAACIAAABkcnMvZG93bnJldi54bWxQSwECFAAUAAAA&#10;CACHTuJAfHGQKPQBAADkAwAADgAAAAAAAAABACAAAAAh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简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431800</wp:posOffset>
                </wp:positionV>
                <wp:extent cx="5610225" cy="0"/>
                <wp:effectExtent l="0" t="4445" r="0" b="508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7pt;margin-top:34pt;height:0pt;width:441.75pt;z-index:251659264;mso-width-relative:page;mso-height-relative:page;" filled="f" stroked="t" coordsize="21600,21600" o:gfxdata="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aIeyvUAAAABwEAAA8AAAAAAAAAAQAgAAAAIgAAAGRycy9kb3ducmV2LnhtbFBLAQIUABQA&#10;AAAIAIdO4kBAMh0s9AEAAOQDAAAOAAAAAAAAAAEAIAAAACM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简体"/>
          <w:b/>
          <w:sz w:val="28"/>
          <w:szCs w:val="28"/>
        </w:rPr>
        <w:t xml:space="preserve">曲阜市人民政府办公室　　　 </w:t>
      </w:r>
      <w:r>
        <w:rPr>
          <w:rFonts w:hint="eastAsia" w:eastAsia="方正仿宋简体"/>
          <w:b/>
          <w:sz w:val="28"/>
          <w:szCs w:val="28"/>
        </w:rPr>
        <w:t xml:space="preserve"> </w:t>
      </w:r>
      <w:r>
        <w:rPr>
          <w:rFonts w:eastAsia="方正仿宋简体"/>
          <w:b/>
          <w:sz w:val="28"/>
          <w:szCs w:val="28"/>
        </w:rPr>
        <w:t xml:space="preserve">　　     </w:t>
      </w:r>
      <w:r>
        <w:rPr>
          <w:rFonts w:hint="eastAsia" w:eastAsia="方正仿宋简体"/>
          <w:b/>
          <w:sz w:val="28"/>
          <w:szCs w:val="28"/>
          <w:lang w:val="en-US" w:eastAsia="zh-CN"/>
        </w:rPr>
        <w:t xml:space="preserve"> </w:t>
      </w:r>
      <w:r>
        <w:rPr>
          <w:rFonts w:eastAsia="方正仿宋简体"/>
          <w:b/>
          <w:sz w:val="28"/>
          <w:szCs w:val="28"/>
        </w:rPr>
        <w:t>20</w:t>
      </w:r>
      <w:r>
        <w:rPr>
          <w:rFonts w:hint="eastAsia" w:eastAsia="方正仿宋简体"/>
          <w:b/>
          <w:sz w:val="28"/>
          <w:szCs w:val="28"/>
        </w:rPr>
        <w:t>2</w:t>
      </w:r>
      <w:r>
        <w:rPr>
          <w:rFonts w:hint="eastAsia" w:eastAsia="方正仿宋简体"/>
          <w:b/>
          <w:sz w:val="28"/>
          <w:szCs w:val="28"/>
          <w:lang w:val="en-US" w:eastAsia="zh-CN"/>
        </w:rPr>
        <w:t>4</w:t>
      </w:r>
      <w:r>
        <w:rPr>
          <w:rFonts w:eastAsia="方正仿宋简体"/>
          <w:b/>
          <w:sz w:val="28"/>
          <w:szCs w:val="28"/>
        </w:rPr>
        <w:t>年</w:t>
      </w:r>
      <w:r>
        <w:rPr>
          <w:rFonts w:hint="eastAsia" w:eastAsia="方正仿宋简体"/>
          <w:b/>
          <w:sz w:val="28"/>
          <w:szCs w:val="28"/>
          <w:lang w:val="en-US" w:eastAsia="zh-CN"/>
        </w:rPr>
        <w:t>5</w:t>
      </w:r>
      <w:r>
        <w:rPr>
          <w:rFonts w:eastAsia="方正仿宋简体"/>
          <w:b/>
          <w:sz w:val="28"/>
          <w:szCs w:val="28"/>
        </w:rPr>
        <w:t>月</w:t>
      </w:r>
      <w:r>
        <w:rPr>
          <w:rFonts w:hint="eastAsia" w:eastAsia="方正仿宋简体"/>
          <w:b/>
          <w:sz w:val="28"/>
          <w:szCs w:val="28"/>
          <w:lang w:val="en-US" w:eastAsia="zh-CN"/>
        </w:rPr>
        <w:t>15</w:t>
      </w:r>
      <w:r>
        <w:rPr>
          <w:rFonts w:eastAsia="方正仿宋简体"/>
          <w:b/>
          <w:sz w:val="28"/>
          <w:szCs w:val="28"/>
        </w:rPr>
        <w:t>日印发　</w:t>
      </w:r>
    </w:p>
    <w:p>
      <w:pPr>
        <w:pStyle w:val="5"/>
        <w:rPr>
          <w:rFonts w:hint="eastAsia"/>
          <w:lang w:val="zh-CN" w:eastAsia="zh-CN"/>
        </w:rPr>
      </w:pPr>
    </w:p>
    <w:sectPr>
      <w:pgSz w:w="11906" w:h="16838"/>
      <w:pgMar w:top="1440" w:right="1803" w:bottom="1440" w:left="1803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创艺简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>—</w:t>
                          </w:r>
                          <w:r>
                            <w:rPr>
                              <w:sz w:val="22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36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2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36"/>
                            </w:rPr>
                            <w:t>1</w:t>
                          </w:r>
                          <w:r>
                            <w:rPr>
                              <w:sz w:val="22"/>
                              <w:szCs w:val="36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>—</w:t>
                    </w:r>
                    <w:r>
                      <w:rPr>
                        <w:sz w:val="22"/>
                        <w:szCs w:val="36"/>
                      </w:rPr>
                      <w:t xml:space="preserve"> </w:t>
                    </w:r>
                    <w:r>
                      <w:rPr>
                        <w:sz w:val="22"/>
                        <w:szCs w:val="36"/>
                      </w:rPr>
                      <w:fldChar w:fldCharType="begin"/>
                    </w:r>
                    <w:r>
                      <w:rPr>
                        <w:sz w:val="22"/>
                        <w:szCs w:val="36"/>
                      </w:rPr>
                      <w:instrText xml:space="preserve"> PAGE  \* MERGEFORMAT </w:instrText>
                    </w:r>
                    <w:r>
                      <w:rPr>
                        <w:sz w:val="22"/>
                        <w:szCs w:val="36"/>
                      </w:rPr>
                      <w:fldChar w:fldCharType="separate"/>
                    </w:r>
                    <w:r>
                      <w:rPr>
                        <w:sz w:val="22"/>
                        <w:szCs w:val="36"/>
                      </w:rPr>
                      <w:t>1</w:t>
                    </w:r>
                    <w:r>
                      <w:rPr>
                        <w:sz w:val="22"/>
                        <w:szCs w:val="36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13019"/>
    <w:multiLevelType w:val="singleLevel"/>
    <w:tmpl w:val="B42130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kMjA5NmY4OTRiOWVmYzFkN2ZkMDczNWQxOTM3YjYifQ=="/>
    <w:docVar w:name="KSO_WPS_MARK_KEY" w:val="f507a975-40cb-41ef-b56e-c25d343a668c"/>
  </w:docVars>
  <w:rsids>
    <w:rsidRoot w:val="066E2621"/>
    <w:rsid w:val="034C0CA3"/>
    <w:rsid w:val="066E2621"/>
    <w:rsid w:val="06850CA9"/>
    <w:rsid w:val="08767247"/>
    <w:rsid w:val="0C2116CC"/>
    <w:rsid w:val="1082481F"/>
    <w:rsid w:val="112A0531"/>
    <w:rsid w:val="135B5A88"/>
    <w:rsid w:val="1F532D39"/>
    <w:rsid w:val="1F8121D2"/>
    <w:rsid w:val="283F60F7"/>
    <w:rsid w:val="29FB472C"/>
    <w:rsid w:val="2B176E90"/>
    <w:rsid w:val="2D402D1B"/>
    <w:rsid w:val="30F81EFE"/>
    <w:rsid w:val="31BB7993"/>
    <w:rsid w:val="32E62B90"/>
    <w:rsid w:val="33A15DF5"/>
    <w:rsid w:val="346A498D"/>
    <w:rsid w:val="38FB05E6"/>
    <w:rsid w:val="3D055E57"/>
    <w:rsid w:val="43224883"/>
    <w:rsid w:val="459327C1"/>
    <w:rsid w:val="4CA233DC"/>
    <w:rsid w:val="63480386"/>
    <w:rsid w:val="64565069"/>
    <w:rsid w:val="68637725"/>
    <w:rsid w:val="68D402A6"/>
    <w:rsid w:val="712D6797"/>
    <w:rsid w:val="78ED011E"/>
    <w:rsid w:val="7EBB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 2"/>
    <w:basedOn w:val="4"/>
    <w:qFormat/>
    <w:uiPriority w:val="0"/>
    <w:pPr>
      <w:spacing w:after="0"/>
      <w:ind w:left="0" w:leftChars="0" w:firstLine="420" w:firstLineChars="200"/>
    </w:pPr>
    <w:rPr>
      <w:rFonts w:ascii="仿宋_GB2312" w:hAnsi="创艺简标宋" w:eastAsia="仿宋_GB2312" w:cs="Times New Roman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3238</Words>
  <Characters>3722</Characters>
  <Lines>0</Lines>
  <Paragraphs>0</Paragraphs>
  <TotalTime>25</TotalTime>
  <ScaleCrop>false</ScaleCrop>
  <LinksUpToDate>false</LinksUpToDate>
  <CharactersWithSpaces>3809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2024-05-08T07:59:00Z</dcterms:created>
  <dc:creator>听听那冷雨</dc:creator>
  <cp:lastModifiedBy>执笔绘流年</cp:lastModifiedBy>
  <cp:lastPrinted>2024-05-10T01:40:00Z</cp:lastPrinted>
  <dcterms:modified xsi:type="dcterms:W3CDTF">2024-05-17T07:46:26Z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67A8240D5A5B495F8F57EBE389E8868A_13</vt:lpwstr>
  </property>
</Properties>
</file>