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after="0" w:line="610" w:lineRule="exact"/>
        <w:jc w:val="both"/>
        <w:textAlignment w:val="baseline"/>
        <w:rPr>
          <w:rFonts w:hint="default" w:ascii="Times New Roman" w:hAnsi="Times New Roman" w:eastAsia="方正仿宋简体" w:cs="Times New Roman"/>
          <w:b/>
          <w:color w:val="auto"/>
          <w:kern w:val="2"/>
          <w:sz w:val="32"/>
          <w:szCs w:val="20"/>
        </w:rPr>
      </w:pPr>
      <w:r>
        <w:rPr>
          <w:rFonts w:hint="eastAsia" w:ascii="Times New Roman" w:hAnsi="Times New Roman" w:eastAsia="方正仿宋简体"/>
          <w:b/>
          <w:bCs/>
          <w:color w:val="000000"/>
          <w:sz w:val="32"/>
          <w:szCs w:val="32"/>
        </w:rPr>
        <w:t>QFDR-2023-0010004</w:t>
      </w:r>
    </w:p>
    <w:p>
      <w:pPr>
        <w:keepNext w:val="0"/>
        <w:keepLines w:val="0"/>
        <w:pageBreakBefore w:val="0"/>
        <w:widowControl w:val="0"/>
        <w:kinsoku/>
        <w:wordWrap/>
        <w:overflowPunct w:val="0"/>
        <w:topLinePunct/>
        <w:autoSpaceDE/>
        <w:autoSpaceDN/>
        <w:bidi w:val="0"/>
        <w:adjustRightInd/>
        <w:snapToGrid/>
        <w:spacing w:after="0" w:line="610" w:lineRule="exact"/>
        <w:jc w:val="both"/>
        <w:textAlignment w:val="baseline"/>
        <w:rPr>
          <w:rFonts w:hint="default" w:ascii="Times New Roman" w:hAnsi="Times New Roman" w:eastAsia="方正仿宋简体" w:cs="Times New Roman"/>
          <w:b/>
          <w:color w:val="auto"/>
          <w:kern w:val="2"/>
          <w:sz w:val="32"/>
          <w:szCs w:val="20"/>
        </w:rPr>
      </w:pPr>
    </w:p>
    <w:p>
      <w:pPr>
        <w:keepNext w:val="0"/>
        <w:keepLines w:val="0"/>
        <w:pageBreakBefore w:val="0"/>
        <w:widowControl w:val="0"/>
        <w:kinsoku/>
        <w:wordWrap/>
        <w:overflowPunct w:val="0"/>
        <w:topLinePunct/>
        <w:autoSpaceDE/>
        <w:autoSpaceDN/>
        <w:bidi w:val="0"/>
        <w:adjustRightInd/>
        <w:snapToGrid/>
        <w:spacing w:after="0" w:line="610" w:lineRule="exact"/>
        <w:jc w:val="both"/>
        <w:textAlignment w:val="baseline"/>
        <w:rPr>
          <w:rFonts w:hint="default" w:ascii="Times New Roman" w:hAnsi="Times New Roman" w:eastAsia="方正仿宋简体" w:cs="Times New Roman"/>
          <w:b/>
          <w:color w:val="auto"/>
          <w:kern w:val="2"/>
          <w:sz w:val="48"/>
          <w:szCs w:val="20"/>
          <w:vertAlign w:val="superscript"/>
        </w:rPr>
      </w:pPr>
    </w:p>
    <w:p>
      <w:pPr>
        <w:keepNext w:val="0"/>
        <w:keepLines w:val="0"/>
        <w:pageBreakBefore w:val="0"/>
        <w:widowControl w:val="0"/>
        <w:kinsoku/>
        <w:wordWrap/>
        <w:overflowPunct w:val="0"/>
        <w:topLinePunct/>
        <w:autoSpaceDE/>
        <w:autoSpaceDN/>
        <w:bidi w:val="0"/>
        <w:adjustRightInd/>
        <w:snapToGrid/>
        <w:spacing w:after="0" w:line="610" w:lineRule="exact"/>
        <w:jc w:val="both"/>
        <w:textAlignment w:val="baseline"/>
        <w:rPr>
          <w:rFonts w:hint="default" w:ascii="Times New Roman" w:hAnsi="Times New Roman" w:eastAsia="方正仿宋简体" w:cs="Times New Roman"/>
          <w:b/>
          <w:color w:val="auto"/>
          <w:kern w:val="2"/>
          <w:sz w:val="48"/>
          <w:szCs w:val="20"/>
          <w:vertAlign w:val="superscript"/>
        </w:rPr>
      </w:pPr>
    </w:p>
    <w:p>
      <w:pPr>
        <w:keepNext w:val="0"/>
        <w:keepLines w:val="0"/>
        <w:pageBreakBefore w:val="0"/>
        <w:widowControl w:val="0"/>
        <w:kinsoku/>
        <w:wordWrap/>
        <w:overflowPunct w:val="0"/>
        <w:topLinePunct/>
        <w:autoSpaceDE/>
        <w:autoSpaceDN/>
        <w:bidi w:val="0"/>
        <w:adjustRightInd/>
        <w:snapToGrid/>
        <w:spacing w:after="0" w:line="610" w:lineRule="exact"/>
        <w:jc w:val="both"/>
        <w:textAlignment w:val="baseline"/>
        <w:rPr>
          <w:rFonts w:hint="default" w:ascii="Times New Roman" w:hAnsi="Times New Roman" w:eastAsia="方正仿宋简体" w:cs="Times New Roman"/>
          <w:b/>
          <w:color w:val="auto"/>
          <w:kern w:val="2"/>
          <w:sz w:val="48"/>
          <w:szCs w:val="20"/>
          <w:vertAlign w:val="superscript"/>
        </w:rPr>
      </w:pPr>
    </w:p>
    <w:p>
      <w:pPr>
        <w:keepNext w:val="0"/>
        <w:keepLines w:val="0"/>
        <w:pageBreakBefore w:val="0"/>
        <w:widowControl w:val="0"/>
        <w:kinsoku/>
        <w:wordWrap/>
        <w:overflowPunct w:val="0"/>
        <w:topLinePunct/>
        <w:autoSpaceDE/>
        <w:autoSpaceDN/>
        <w:bidi w:val="0"/>
        <w:adjustRightInd/>
        <w:snapToGrid/>
        <w:spacing w:line="610" w:lineRule="exact"/>
        <w:jc w:val="both"/>
        <w:textAlignment w:val="baseline"/>
        <w:rPr>
          <w:rFonts w:hint="default" w:ascii="宋体" w:hAnsi="Courier New" w:eastAsia="宋体" w:cs="Courier New"/>
          <w:kern w:val="2"/>
          <w:sz w:val="21"/>
          <w:szCs w:val="21"/>
          <w:lang w:val="en-US" w:eastAsia="zh-CN" w:bidi="ar-SA"/>
        </w:rPr>
      </w:pPr>
    </w:p>
    <w:p>
      <w:pPr>
        <w:keepNext w:val="0"/>
        <w:keepLines w:val="0"/>
        <w:pageBreakBefore w:val="0"/>
        <w:widowControl w:val="0"/>
        <w:kinsoku/>
        <w:wordWrap/>
        <w:overflowPunct w:val="0"/>
        <w:topLinePunct/>
        <w:autoSpaceDE/>
        <w:autoSpaceDN/>
        <w:bidi w:val="0"/>
        <w:adjustRightInd w:val="0"/>
        <w:snapToGrid/>
        <w:spacing w:line="580" w:lineRule="exact"/>
        <w:ind w:left="0" w:leftChars="0"/>
        <w:jc w:val="center"/>
        <w:textAlignment w:val="baseline"/>
        <w:rPr>
          <w:rFonts w:ascii="Times New Roman" w:hAnsi="Times New Roman" w:eastAsia="方正仿宋简体"/>
          <w:b/>
          <w:bCs/>
          <w:color w:val="000000"/>
          <w:sz w:val="44"/>
          <w:szCs w:val="44"/>
        </w:rPr>
      </w:pPr>
      <w:r>
        <w:rPr>
          <w:rFonts w:hint="default" w:ascii="Times New Roman" w:hAnsi="Times New Roman" w:eastAsia="方正仿宋简体" w:cs="Times New Roman"/>
          <w:b/>
          <w:kern w:val="2"/>
          <w:sz w:val="32"/>
          <w:szCs w:val="32"/>
          <w:lang w:val="en-US" w:eastAsia="zh-CN" w:bidi="ar"/>
        </w:rPr>
        <w:t>曲</w:t>
      </w:r>
      <w:r>
        <w:rPr>
          <w:rFonts w:hint="eastAsia" w:ascii="Times New Roman" w:hAnsi="Times New Roman" w:eastAsia="方正仿宋简体"/>
          <w:b/>
          <w:bCs/>
          <w:color w:val="000000"/>
          <w:sz w:val="32"/>
          <w:szCs w:val="32"/>
        </w:rPr>
        <w:t>政</w:t>
      </w:r>
      <w:r>
        <w:rPr>
          <w:rFonts w:hint="eastAsia" w:ascii="Times New Roman" w:hAnsi="Times New Roman" w:eastAsia="方正仿宋简体"/>
          <w:b/>
          <w:bCs/>
          <w:color w:val="000000"/>
          <w:sz w:val="32"/>
          <w:szCs w:val="32"/>
          <w:lang w:val="en-US" w:eastAsia="zh-CN"/>
        </w:rPr>
        <w:t>发</w:t>
      </w:r>
      <w:r>
        <w:rPr>
          <w:rFonts w:hint="eastAsia" w:ascii="Times New Roman" w:hAnsi="Times New Roman" w:eastAsia="方正仿宋简体"/>
          <w:b/>
          <w:bCs/>
          <w:color w:val="000000"/>
          <w:sz w:val="32"/>
          <w:szCs w:val="32"/>
        </w:rPr>
        <w:t>〔</w:t>
      </w:r>
      <w:r>
        <w:rPr>
          <w:rFonts w:ascii="Times New Roman" w:hAnsi="Times New Roman" w:eastAsia="方正仿宋简体"/>
          <w:b/>
          <w:bCs/>
          <w:color w:val="000000"/>
          <w:sz w:val="32"/>
          <w:szCs w:val="32"/>
        </w:rPr>
        <w:t>2023</w:t>
      </w:r>
      <w:r>
        <w:rPr>
          <w:rFonts w:hint="eastAsia" w:ascii="Times New Roman" w:hAnsi="Times New Roman" w:eastAsia="方正仿宋简体"/>
          <w:b/>
          <w:bCs/>
          <w:color w:val="000000"/>
          <w:sz w:val="32"/>
          <w:szCs w:val="32"/>
        </w:rPr>
        <w:t>〕</w:t>
      </w:r>
      <w:r>
        <w:rPr>
          <w:rFonts w:hint="eastAsia" w:ascii="Times New Roman" w:hAnsi="Times New Roman" w:eastAsia="方正仿宋简体"/>
          <w:b/>
          <w:bCs/>
          <w:color w:val="000000"/>
          <w:sz w:val="32"/>
          <w:szCs w:val="32"/>
          <w:lang w:val="en-US" w:eastAsia="zh-CN"/>
        </w:rPr>
        <w:t>9</w:t>
      </w:r>
      <w:r>
        <w:rPr>
          <w:rFonts w:hint="eastAsia" w:ascii="Times New Roman" w:hAnsi="Times New Roman" w:eastAsia="方正仿宋简体"/>
          <w:b/>
          <w:bCs/>
          <w:color w:val="000000"/>
          <w:sz w:val="32"/>
          <w:szCs w:val="32"/>
        </w:rPr>
        <w:t>号</w:t>
      </w:r>
    </w:p>
    <w:p>
      <w:pPr>
        <w:keepNext w:val="0"/>
        <w:keepLines w:val="0"/>
        <w:pageBreakBefore w:val="0"/>
        <w:widowControl w:val="0"/>
        <w:kinsoku/>
        <w:wordWrap/>
        <w:overflowPunct w:val="0"/>
        <w:topLinePunct/>
        <w:autoSpaceDE/>
        <w:autoSpaceDN/>
        <w:bidi w:val="0"/>
        <w:adjustRightInd w:val="0"/>
        <w:snapToGrid/>
        <w:spacing w:line="900" w:lineRule="exact"/>
        <w:ind w:left="0" w:leftChars="0"/>
        <w:jc w:val="center"/>
        <w:textAlignment w:val="baseline"/>
        <w:rPr>
          <w:rFonts w:ascii="Times New Roman" w:hAnsi="Times New Roman" w:eastAsia="方正仿宋简体"/>
          <w:b/>
          <w:bCs/>
          <w:color w:val="000000"/>
          <w:sz w:val="44"/>
          <w:szCs w:val="44"/>
        </w:rPr>
      </w:pPr>
    </w:p>
    <w:p>
      <w:pPr>
        <w:keepNext w:val="0"/>
        <w:keepLines w:val="0"/>
        <w:pageBreakBefore w:val="0"/>
        <w:widowControl w:val="0"/>
        <w:kinsoku/>
        <w:wordWrap/>
        <w:overflowPunct w:val="0"/>
        <w:topLinePunct/>
        <w:autoSpaceDE/>
        <w:autoSpaceDN/>
        <w:bidi w:val="0"/>
        <w:adjustRightInd w:val="0"/>
        <w:snapToGrid/>
        <w:spacing w:line="580" w:lineRule="exact"/>
        <w:ind w:left="0" w:leftChars="0"/>
        <w:jc w:val="center"/>
        <w:textAlignment w:val="baseline"/>
        <w:rPr>
          <w:rFonts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曲阜市人民政府</w:t>
      </w:r>
    </w:p>
    <w:p>
      <w:pPr>
        <w:keepNext w:val="0"/>
        <w:keepLines w:val="0"/>
        <w:pageBreakBefore w:val="0"/>
        <w:widowControl w:val="0"/>
        <w:kinsoku/>
        <w:wordWrap/>
        <w:overflowPunct w:val="0"/>
        <w:topLinePunct/>
        <w:autoSpaceDE/>
        <w:autoSpaceDN/>
        <w:bidi w:val="0"/>
        <w:adjustRightInd w:val="0"/>
        <w:snapToGrid/>
        <w:spacing w:line="580" w:lineRule="exact"/>
        <w:ind w:left="0" w:leftChars="0"/>
        <w:jc w:val="center"/>
        <w:textAlignment w:val="baseline"/>
        <w:rPr>
          <w:rFonts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关于印发《曲阜市市场主体公共信用综合评价</w:t>
      </w:r>
      <w:r>
        <w:rPr>
          <w:rFonts w:hint="eastAsia" w:ascii="方正小标宋简体" w:hAnsi="方正小标宋简体" w:eastAsia="方正小标宋简体" w:cs="方正小标宋简体"/>
          <w:b/>
          <w:bCs/>
          <w:color w:val="000000"/>
          <w:sz w:val="44"/>
          <w:szCs w:val="44"/>
          <w:lang w:val="en-US"/>
        </w:rPr>
        <w:t>管理</w:t>
      </w:r>
      <w:r>
        <w:rPr>
          <w:rFonts w:hint="eastAsia" w:ascii="方正小标宋简体" w:hAnsi="方正小标宋简体" w:eastAsia="方正小标宋简体" w:cs="方正小标宋简体"/>
          <w:b/>
          <w:bCs/>
          <w:color w:val="000000"/>
          <w:sz w:val="44"/>
          <w:szCs w:val="44"/>
        </w:rPr>
        <w:t>办法（</w:t>
      </w:r>
      <w:r>
        <w:rPr>
          <w:rFonts w:hint="eastAsia" w:ascii="方正小标宋简体" w:hAnsi="方正小标宋简体" w:eastAsia="方正小标宋简体" w:cs="方正小标宋简体"/>
          <w:b/>
          <w:bCs/>
          <w:color w:val="000000"/>
          <w:sz w:val="44"/>
          <w:szCs w:val="44"/>
          <w:lang w:val="en-US"/>
        </w:rPr>
        <w:t>试行</w:t>
      </w:r>
      <w:r>
        <w:rPr>
          <w:rFonts w:hint="eastAsia" w:ascii="方正小标宋简体" w:hAnsi="方正小标宋简体" w:eastAsia="方正小标宋简体" w:cs="方正小标宋简体"/>
          <w:b/>
          <w:bCs/>
          <w:color w:val="000000"/>
          <w:sz w:val="44"/>
          <w:szCs w:val="44"/>
        </w:rPr>
        <w:t>）》的通知</w:t>
      </w:r>
    </w:p>
    <w:p>
      <w:pPr>
        <w:keepNext w:val="0"/>
        <w:keepLines w:val="0"/>
        <w:pageBreakBefore w:val="0"/>
        <w:widowControl w:val="0"/>
        <w:kinsoku/>
        <w:wordWrap/>
        <w:overflowPunct w:val="0"/>
        <w:topLinePunct/>
        <w:autoSpaceDE/>
        <w:autoSpaceDN/>
        <w:bidi w:val="0"/>
        <w:adjustRightInd w:val="0"/>
        <w:snapToGrid/>
        <w:spacing w:line="580" w:lineRule="exact"/>
        <w:ind w:left="0" w:leftChars="0"/>
        <w:textAlignment w:val="baseline"/>
        <w:rPr>
          <w:rFonts w:ascii="Times New Roman" w:hAnsi="Times New Roman" w:eastAsia="方正仿宋简体"/>
          <w:b/>
          <w:bCs/>
          <w:color w:val="000000"/>
          <w:sz w:val="32"/>
          <w:szCs w:val="32"/>
        </w:rPr>
      </w:pPr>
    </w:p>
    <w:p>
      <w:pPr>
        <w:keepNext w:val="0"/>
        <w:keepLines w:val="0"/>
        <w:pageBreakBefore w:val="0"/>
        <w:widowControl w:val="0"/>
        <w:kinsoku/>
        <w:wordWrap/>
        <w:overflowPunct w:val="0"/>
        <w:topLinePunct/>
        <w:autoSpaceDE/>
        <w:autoSpaceDN/>
        <w:bidi w:val="0"/>
        <w:adjustRightInd w:val="0"/>
        <w:snapToGrid/>
        <w:spacing w:line="580" w:lineRule="exact"/>
        <w:ind w:left="0" w:leftChars="0"/>
        <w:textAlignment w:val="baseline"/>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rPr>
        <w:t>各镇人民政府、街道办事处，市政府各部门，各有关单位：</w:t>
      </w:r>
    </w:p>
    <w:p>
      <w:pPr>
        <w:keepNext w:val="0"/>
        <w:keepLines w:val="0"/>
        <w:pageBreakBefore w:val="0"/>
        <w:widowControl w:val="0"/>
        <w:kinsoku/>
        <w:wordWrap/>
        <w:overflowPunct w:val="0"/>
        <w:topLinePunct/>
        <w:autoSpaceDE/>
        <w:autoSpaceDN/>
        <w:bidi w:val="0"/>
        <w:adjustRightInd w:val="0"/>
        <w:snapToGrid/>
        <w:spacing w:line="580" w:lineRule="exact"/>
        <w:ind w:left="0" w:leftChars="0" w:firstLine="640"/>
        <w:textAlignment w:val="baseline"/>
        <w:rPr>
          <w:rFonts w:ascii="Times New Roman" w:hAnsi="Times New Roman" w:eastAsia="方正仿宋简体"/>
          <w:b/>
          <w:bCs/>
          <w:color w:val="000000"/>
          <w:sz w:val="32"/>
          <w:szCs w:val="32"/>
        </w:rPr>
      </w:pPr>
      <w:r>
        <w:rPr>
          <w:rFonts w:hint="eastAsia" w:ascii="Times New Roman" w:hAnsi="Times New Roman" w:eastAsia="方正仿宋简体"/>
          <w:b/>
          <w:bCs/>
          <w:color w:val="000000"/>
          <w:sz w:val="32"/>
          <w:szCs w:val="32"/>
          <w:lang w:val="en-US" w:eastAsia="zh-CN"/>
        </w:rPr>
        <w:t>经市委、市政府研究同意，</w:t>
      </w:r>
      <w:r>
        <w:rPr>
          <w:rFonts w:hint="eastAsia" w:ascii="Times New Roman" w:hAnsi="Times New Roman" w:eastAsia="方正仿宋简体"/>
          <w:b/>
          <w:bCs/>
          <w:color w:val="000000"/>
          <w:sz w:val="32"/>
          <w:szCs w:val="32"/>
        </w:rPr>
        <w:t>现将《曲阜市市场主体公共信用综合评价</w:t>
      </w:r>
      <w:r>
        <w:rPr>
          <w:rFonts w:hint="eastAsia" w:ascii="Times New Roman" w:hAnsi="Times New Roman" w:eastAsia="方正仿宋简体"/>
          <w:b/>
          <w:bCs/>
          <w:color w:val="000000"/>
          <w:sz w:val="32"/>
          <w:szCs w:val="32"/>
          <w:lang w:val="en-US"/>
        </w:rPr>
        <w:t>管理</w:t>
      </w:r>
      <w:r>
        <w:rPr>
          <w:rFonts w:hint="eastAsia" w:ascii="Times New Roman" w:hAnsi="Times New Roman" w:eastAsia="方正仿宋简体"/>
          <w:b/>
          <w:bCs/>
          <w:color w:val="000000"/>
          <w:sz w:val="32"/>
          <w:szCs w:val="32"/>
        </w:rPr>
        <w:t>办法（</w:t>
      </w:r>
      <w:r>
        <w:rPr>
          <w:rFonts w:hint="eastAsia" w:ascii="Times New Roman" w:hAnsi="Times New Roman" w:eastAsia="方正仿宋简体"/>
          <w:b/>
          <w:bCs/>
          <w:color w:val="000000"/>
          <w:sz w:val="32"/>
          <w:szCs w:val="32"/>
          <w:lang w:val="en-US"/>
        </w:rPr>
        <w:t>试行</w:t>
      </w:r>
      <w:r>
        <w:rPr>
          <w:rFonts w:hint="eastAsia" w:ascii="Times New Roman" w:hAnsi="Times New Roman" w:eastAsia="方正仿宋简体"/>
          <w:b/>
          <w:bCs/>
          <w:color w:val="000000"/>
          <w:sz w:val="32"/>
          <w:szCs w:val="32"/>
        </w:rPr>
        <w:t>）》印发给你们，请认真抓好落实。</w:t>
      </w:r>
    </w:p>
    <w:p>
      <w:pPr>
        <w:pStyle w:val="17"/>
        <w:keepNext w:val="0"/>
        <w:keepLines w:val="0"/>
        <w:pageBreakBefore w:val="0"/>
        <w:widowControl w:val="0"/>
        <w:kinsoku/>
        <w:wordWrap/>
        <w:overflowPunct w:val="0"/>
        <w:topLinePunct/>
        <w:autoSpaceDE/>
        <w:autoSpaceDN/>
        <w:bidi w:val="0"/>
        <w:adjustRightInd w:val="0"/>
        <w:snapToGrid/>
        <w:spacing w:line="580" w:lineRule="exact"/>
        <w:ind w:left="0" w:leftChars="0" w:firstLine="642" w:firstLineChars="200"/>
        <w:textAlignment w:val="baseline"/>
        <w:rPr>
          <w:rFonts w:hint="eastAsia" w:ascii="Times New Roman" w:hAnsi="Times New Roman" w:eastAsia="方正仿宋简体" w:cs="方正小标宋简体"/>
          <w:b/>
          <w:bCs/>
          <w:sz w:val="32"/>
          <w:szCs w:val="32"/>
        </w:rPr>
      </w:pPr>
      <w:bookmarkStart w:id="0" w:name="_GoBack"/>
      <w:bookmarkEnd w:id="0"/>
    </w:p>
    <w:p>
      <w:pPr>
        <w:pStyle w:val="17"/>
        <w:keepNext w:val="0"/>
        <w:keepLines w:val="0"/>
        <w:pageBreakBefore w:val="0"/>
        <w:widowControl w:val="0"/>
        <w:kinsoku/>
        <w:wordWrap/>
        <w:overflowPunct w:val="0"/>
        <w:topLinePunct/>
        <w:autoSpaceDE/>
        <w:autoSpaceDN/>
        <w:bidi w:val="0"/>
        <w:adjustRightInd w:val="0"/>
        <w:snapToGrid/>
        <w:spacing w:line="580" w:lineRule="exact"/>
        <w:ind w:left="0" w:leftChars="0" w:firstLine="642" w:firstLineChars="200"/>
        <w:textAlignment w:val="baseline"/>
        <w:rPr>
          <w:rFonts w:hint="eastAsia" w:ascii="Times New Roman" w:hAnsi="Times New Roman" w:eastAsia="方正仿宋简体" w:cs="方正小标宋简体"/>
          <w:b/>
          <w:bCs/>
          <w:sz w:val="32"/>
          <w:szCs w:val="32"/>
        </w:rPr>
      </w:pPr>
    </w:p>
    <w:p>
      <w:pPr>
        <w:pStyle w:val="17"/>
        <w:keepNext w:val="0"/>
        <w:keepLines w:val="0"/>
        <w:pageBreakBefore w:val="0"/>
        <w:widowControl w:val="0"/>
        <w:kinsoku/>
        <w:wordWrap/>
        <w:overflowPunct w:val="0"/>
        <w:topLinePunct/>
        <w:autoSpaceDE/>
        <w:autoSpaceDN/>
        <w:bidi w:val="0"/>
        <w:adjustRightInd w:val="0"/>
        <w:snapToGrid/>
        <w:spacing w:line="580" w:lineRule="exact"/>
        <w:ind w:left="0" w:leftChars="0" w:firstLine="642" w:firstLineChars="200"/>
        <w:textAlignment w:val="baseline"/>
        <w:rPr>
          <w:rFonts w:hint="eastAsia" w:ascii="Times New Roman" w:hAnsi="Times New Roman" w:eastAsia="方正仿宋简体" w:cs="方正小标宋简体"/>
          <w:b/>
          <w:bCs/>
          <w:sz w:val="32"/>
          <w:szCs w:val="32"/>
        </w:rPr>
      </w:pPr>
    </w:p>
    <w:p>
      <w:pPr>
        <w:pStyle w:val="17"/>
        <w:keepNext w:val="0"/>
        <w:keepLines w:val="0"/>
        <w:pageBreakBefore w:val="0"/>
        <w:widowControl w:val="0"/>
        <w:kinsoku/>
        <w:wordWrap/>
        <w:overflowPunct w:val="0"/>
        <w:topLinePunct/>
        <w:autoSpaceDE/>
        <w:autoSpaceDN/>
        <w:bidi w:val="0"/>
        <w:adjustRightInd w:val="0"/>
        <w:snapToGrid/>
        <w:spacing w:line="580" w:lineRule="exact"/>
        <w:ind w:left="54" w:leftChars="0" w:hanging="54" w:hangingChars="17"/>
        <w:textAlignment w:val="baseline"/>
        <w:rPr>
          <w:rFonts w:hint="eastAsia" w:ascii="Times New Roman" w:hAnsi="Times New Roman" w:eastAsia="方正仿宋简体"/>
          <w:b/>
          <w:bCs/>
          <w:color w:val="000000"/>
          <w:sz w:val="32"/>
          <w:szCs w:val="32"/>
          <w:lang w:val="en-US" w:eastAsia="zh-CN"/>
        </w:rPr>
      </w:pPr>
      <w:r>
        <w:rPr>
          <w:rFonts w:ascii="Times New Roman" w:hAnsi="Times New Roman" w:eastAsia="方正仿宋简体"/>
          <w:b/>
          <w:bCs/>
          <w:color w:val="000000"/>
          <w:sz w:val="32"/>
          <w:szCs w:val="32"/>
        </w:rPr>
        <w:t xml:space="preserve">                            </w:t>
      </w:r>
      <w:r>
        <w:rPr>
          <w:rFonts w:hint="eastAsia" w:ascii="Times New Roman" w:hAnsi="Times New Roman" w:eastAsia="方正仿宋简体"/>
          <w:b/>
          <w:bCs/>
          <w:color w:val="000000"/>
          <w:sz w:val="32"/>
          <w:szCs w:val="32"/>
          <w:lang w:val="en-US" w:eastAsia="zh-CN"/>
        </w:rPr>
        <w:t xml:space="preserve">     </w:t>
      </w:r>
      <w:r>
        <w:rPr>
          <w:rFonts w:hint="eastAsia" w:ascii="Times New Roman" w:hAnsi="Times New Roman" w:eastAsia="方正仿宋简体"/>
          <w:b/>
          <w:bCs/>
          <w:color w:val="000000"/>
          <w:sz w:val="32"/>
          <w:szCs w:val="32"/>
        </w:rPr>
        <w:t>曲阜市人民政府</w:t>
      </w:r>
    </w:p>
    <w:p>
      <w:pPr>
        <w:pStyle w:val="17"/>
        <w:keepNext w:val="0"/>
        <w:keepLines w:val="0"/>
        <w:pageBreakBefore w:val="0"/>
        <w:widowControl w:val="0"/>
        <w:kinsoku/>
        <w:wordWrap/>
        <w:overflowPunct w:val="0"/>
        <w:topLinePunct/>
        <w:autoSpaceDE/>
        <w:autoSpaceDN/>
        <w:bidi w:val="0"/>
        <w:adjustRightInd w:val="0"/>
        <w:snapToGrid/>
        <w:spacing w:line="580" w:lineRule="exact"/>
        <w:ind w:left="0" w:leftChars="0" w:firstLine="5278" w:firstLineChars="1643"/>
        <w:textAlignment w:val="baseline"/>
        <w:rPr>
          <w:rFonts w:ascii="Times New Roman" w:hAnsi="Times New Roman" w:eastAsia="方正仿宋简体"/>
          <w:b/>
          <w:bCs/>
          <w:color w:val="000000"/>
          <w:sz w:val="32"/>
          <w:szCs w:val="32"/>
        </w:rPr>
      </w:pPr>
      <w:r>
        <w:rPr>
          <w:rFonts w:ascii="Times New Roman" w:hAnsi="Times New Roman" w:eastAsia="方正仿宋简体"/>
          <w:b/>
          <w:bCs/>
          <w:color w:val="000000"/>
          <w:sz w:val="32"/>
          <w:szCs w:val="32"/>
        </w:rPr>
        <w:t>2023</w:t>
      </w:r>
      <w:r>
        <w:rPr>
          <w:rFonts w:hint="eastAsia" w:ascii="Times New Roman" w:hAnsi="Times New Roman" w:eastAsia="方正仿宋简体"/>
          <w:b/>
          <w:bCs/>
          <w:color w:val="000000"/>
          <w:sz w:val="32"/>
          <w:szCs w:val="32"/>
        </w:rPr>
        <w:t>年</w:t>
      </w:r>
      <w:r>
        <w:rPr>
          <w:rFonts w:hint="eastAsia" w:ascii="Times New Roman" w:hAnsi="Times New Roman" w:eastAsia="方正仿宋简体"/>
          <w:b/>
          <w:bCs/>
          <w:color w:val="000000"/>
          <w:sz w:val="32"/>
          <w:szCs w:val="32"/>
          <w:lang w:val="en-US" w:eastAsia="zh-CN"/>
        </w:rPr>
        <w:t>6</w:t>
      </w:r>
      <w:r>
        <w:rPr>
          <w:rFonts w:hint="eastAsia" w:ascii="Times New Roman" w:hAnsi="Times New Roman" w:eastAsia="方正仿宋简体"/>
          <w:b/>
          <w:bCs/>
          <w:color w:val="000000"/>
          <w:sz w:val="32"/>
          <w:szCs w:val="32"/>
        </w:rPr>
        <w:t>月</w:t>
      </w:r>
      <w:r>
        <w:rPr>
          <w:rFonts w:hint="eastAsia" w:ascii="Times New Roman" w:hAnsi="Times New Roman" w:eastAsia="方正仿宋简体"/>
          <w:b/>
          <w:bCs/>
          <w:color w:val="000000"/>
          <w:sz w:val="32"/>
          <w:szCs w:val="32"/>
          <w:lang w:val="en-US" w:eastAsia="zh-CN"/>
        </w:rPr>
        <w:t>1</w:t>
      </w:r>
      <w:r>
        <w:rPr>
          <w:rFonts w:hint="eastAsia" w:ascii="Times New Roman" w:hAnsi="Times New Roman" w:eastAsia="方正仿宋简体"/>
          <w:b/>
          <w:bCs/>
          <w:color w:val="000000"/>
          <w:sz w:val="32"/>
          <w:szCs w:val="32"/>
        </w:rPr>
        <w:t>日　　　　</w:t>
      </w:r>
    </w:p>
    <w:p>
      <w:pPr>
        <w:keepNext w:val="0"/>
        <w:keepLines w:val="0"/>
        <w:pageBreakBefore w:val="0"/>
        <w:widowControl w:val="0"/>
        <w:kinsoku/>
        <w:wordWrap/>
        <w:overflowPunct w:val="0"/>
        <w:topLinePunct/>
        <w:autoSpaceDE/>
        <w:autoSpaceDN/>
        <w:bidi w:val="0"/>
        <w:adjustRightInd w:val="0"/>
        <w:snapToGrid/>
        <w:spacing w:line="580" w:lineRule="exact"/>
        <w:textAlignment w:val="baseline"/>
        <w:rPr>
          <w:rFonts w:ascii="Times New Roman" w:hAnsi="Times New Roman" w:eastAsia="方正黑体简体" w:cs="Times New Roman"/>
          <w:b/>
          <w:bCs/>
          <w:sz w:val="32"/>
          <w:szCs w:val="32"/>
        </w:rPr>
      </w:pPr>
    </w:p>
    <w:p>
      <w:pPr>
        <w:pStyle w:val="3"/>
        <w:keepNext w:val="0"/>
        <w:keepLines w:val="0"/>
        <w:pageBreakBefore w:val="0"/>
        <w:widowControl w:val="0"/>
        <w:kinsoku/>
        <w:wordWrap/>
        <w:overflowPunct w:val="0"/>
        <w:topLinePunct/>
        <w:autoSpaceDE/>
        <w:autoSpaceDN/>
        <w:bidi w:val="0"/>
        <w:adjustRightInd w:val="0"/>
        <w:snapToGrid/>
        <w:spacing w:before="313" w:beforeLines="100" w:line="580" w:lineRule="exact"/>
        <w:ind w:right="0"/>
        <w:textAlignment w:val="baseline"/>
        <w:rPr>
          <w:rFonts w:hAnsi="Times New Roman"/>
          <w:bCs w:val="0"/>
        </w:rPr>
      </w:pPr>
      <w:r>
        <w:rPr>
          <w:rFonts w:hint="eastAsia" w:hAnsi="Times New Roman"/>
          <w:bCs w:val="0"/>
        </w:rPr>
        <w:t>曲阜市市场主体公共信用综合评价</w:t>
      </w:r>
      <w:r>
        <w:rPr>
          <w:rFonts w:hint="eastAsia" w:hAnsi="Times New Roman"/>
          <w:bCs w:val="0"/>
          <w:lang w:val="en-US"/>
        </w:rPr>
        <w:t>管理</w:t>
      </w:r>
      <w:r>
        <w:rPr>
          <w:rFonts w:hint="eastAsia" w:hAnsi="Times New Roman"/>
          <w:bCs w:val="0"/>
        </w:rPr>
        <w:t>办法</w:t>
      </w:r>
    </w:p>
    <w:p>
      <w:pPr>
        <w:pStyle w:val="3"/>
        <w:keepNext w:val="0"/>
        <w:keepLines w:val="0"/>
        <w:pageBreakBefore w:val="0"/>
        <w:widowControl w:val="0"/>
        <w:kinsoku/>
        <w:wordWrap/>
        <w:overflowPunct w:val="0"/>
        <w:topLinePunct/>
        <w:autoSpaceDE/>
        <w:autoSpaceDN/>
        <w:bidi w:val="0"/>
        <w:adjustRightInd w:val="0"/>
        <w:snapToGrid/>
        <w:spacing w:line="580" w:lineRule="exact"/>
        <w:ind w:right="0"/>
        <w:textAlignment w:val="baseline"/>
        <w:rPr>
          <w:rFonts w:hAnsi="Times New Roman"/>
          <w:bCs w:val="0"/>
        </w:rPr>
      </w:pPr>
      <w:r>
        <w:rPr>
          <w:rFonts w:hint="eastAsia"/>
          <w:bCs w:val="0"/>
        </w:rPr>
        <w:t>（</w:t>
      </w:r>
      <w:r>
        <w:rPr>
          <w:rFonts w:hint="eastAsia"/>
          <w:bCs w:val="0"/>
          <w:lang w:val="en-US"/>
        </w:rPr>
        <w:t>试行</w:t>
      </w:r>
      <w:r>
        <w:rPr>
          <w:rFonts w:hint="eastAsia"/>
          <w:bCs w:val="0"/>
        </w:rPr>
        <w:t>）</w:t>
      </w:r>
    </w:p>
    <w:p>
      <w:pPr>
        <w:pStyle w:val="3"/>
        <w:keepNext w:val="0"/>
        <w:keepLines w:val="0"/>
        <w:pageBreakBefore w:val="0"/>
        <w:widowControl w:val="0"/>
        <w:kinsoku/>
        <w:wordWrap/>
        <w:overflowPunct w:val="0"/>
        <w:topLinePunct/>
        <w:autoSpaceDE/>
        <w:autoSpaceDN/>
        <w:bidi w:val="0"/>
        <w:adjustRightInd w:val="0"/>
        <w:snapToGrid/>
        <w:spacing w:line="580" w:lineRule="exact"/>
        <w:ind w:right="0"/>
        <w:textAlignment w:val="baseline"/>
        <w:rPr>
          <w:rFonts w:hAnsi="Times New Roman"/>
        </w:rPr>
      </w:pPr>
    </w:p>
    <w:p>
      <w:pPr>
        <w:pStyle w:val="4"/>
        <w:keepNext w:val="0"/>
        <w:keepLines w:val="0"/>
        <w:pageBreakBefore w:val="0"/>
        <w:widowControl w:val="0"/>
        <w:tabs>
          <w:tab w:val="left" w:pos="2038"/>
        </w:tabs>
        <w:kinsoku/>
        <w:wordWrap/>
        <w:overflowPunct w:val="0"/>
        <w:topLinePunct/>
        <w:autoSpaceDE/>
        <w:autoSpaceDN/>
        <w:bidi w:val="0"/>
        <w:adjustRightInd w:val="0"/>
        <w:snapToGrid/>
        <w:spacing w:afterLines="50" w:line="580" w:lineRule="exact"/>
        <w:ind w:left="0"/>
        <w:jc w:val="center"/>
        <w:textAlignment w:val="baseline"/>
        <w:rPr>
          <w:rFonts w:ascii="方正黑体简体" w:hAnsi="Times New Roman" w:eastAsia="方正黑体简体" w:cs="黑体"/>
          <w:b/>
          <w:lang w:val="zh-CN" w:bidi="zh-CN"/>
        </w:rPr>
      </w:pPr>
      <w:r>
        <w:rPr>
          <w:rFonts w:hint="eastAsia" w:ascii="方正黑体简体" w:hAnsi="Times New Roman" w:eastAsia="方正黑体简体" w:cs="黑体"/>
          <w:b/>
          <w:lang w:val="zh-CN" w:bidi="zh-CN"/>
        </w:rPr>
        <w:t>第一章  总  则</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Times New Roman" w:eastAsia="方正黑体简体" w:cs="黑体"/>
          <w:b/>
          <w:sz w:val="32"/>
          <w:szCs w:val="32"/>
          <w:lang w:val="zh-CN" w:bidi="zh-CN"/>
        </w:rPr>
        <w:t>第一条　</w:t>
      </w:r>
      <w:r>
        <w:rPr>
          <w:rFonts w:hint="eastAsia" w:ascii="方正仿宋简体" w:hAnsi="方正仿宋简体" w:eastAsia="方正仿宋简体"/>
          <w:b/>
          <w:bCs/>
          <w:sz w:val="32"/>
        </w:rPr>
        <w:t>为科学、规范开展公共信用综合评价，加快构建差异化监管模式，全力打造一流营商环境，根据《中共中央办公厅国务院办公厅关于推进社会信用体系建设高质量发展促进形成新发展格局的意见》《国务院办公厅关于加快推进社会信用体系建设构建以信用为基础的新型监管机制的指导意见》和《山东省社会信用条例》《山东省公共信用综合评价办法》等文件</w:t>
      </w:r>
      <w:r>
        <w:rPr>
          <w:rFonts w:hint="eastAsia" w:ascii="方正仿宋简体" w:hAnsi="方正仿宋简体" w:eastAsia="方正仿宋简体"/>
          <w:b/>
          <w:bCs/>
          <w:sz w:val="32"/>
          <w:lang w:val="en-US" w:eastAsia="zh-CN"/>
        </w:rPr>
        <w:t>法规</w:t>
      </w:r>
      <w:r>
        <w:rPr>
          <w:rFonts w:hint="eastAsia" w:ascii="方正仿宋简体" w:hAnsi="方正仿宋简体" w:eastAsia="方正仿宋简体"/>
          <w:b/>
          <w:bCs/>
          <w:sz w:val="32"/>
        </w:rPr>
        <w:t>，结合我市实际，制定本办法。</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第二条　</w:t>
      </w:r>
      <w:r>
        <w:rPr>
          <w:rFonts w:hint="eastAsia" w:ascii="方正仿宋简体" w:hAnsi="方正仿宋简体" w:eastAsia="方正仿宋简体"/>
          <w:b/>
          <w:bCs/>
          <w:sz w:val="32"/>
        </w:rPr>
        <w:t>本办法所称市场主体，是指在我市依法登记或从事经营活动的各类企业、个体工商户、实行企业化经营管理的事业单位以及其他经济组织。</w:t>
      </w:r>
    </w:p>
    <w:p>
      <w:pPr>
        <w:keepNext w:val="0"/>
        <w:keepLines w:val="0"/>
        <w:pageBreakBefore w:val="0"/>
        <w:widowControl w:val="0"/>
        <w:kinsoku/>
        <w:wordWrap/>
        <w:overflowPunct w:val="0"/>
        <w:topLinePunct/>
        <w:autoSpaceDE/>
        <w:autoSpaceDN/>
        <w:bidi w:val="0"/>
        <w:adjustRightInd w:val="0"/>
        <w:snapToGrid/>
        <w:spacing w:line="580" w:lineRule="exact"/>
        <w:ind w:firstLine="626" w:firstLineChars="200"/>
        <w:textAlignment w:val="baseline"/>
        <w:rPr>
          <w:rFonts w:ascii="方正仿宋简体" w:hAnsi="方正仿宋简体" w:eastAsia="方正仿宋简体"/>
          <w:b/>
          <w:bCs/>
          <w:spacing w:val="-4"/>
          <w:sz w:val="32"/>
        </w:rPr>
      </w:pPr>
      <w:r>
        <w:rPr>
          <w:rFonts w:hint="eastAsia" w:ascii="方正黑体简体" w:hAnsi="方正黑体简体" w:eastAsia="方正黑体简体" w:cs="方正黑体简体"/>
          <w:b/>
          <w:bCs/>
          <w:spacing w:val="-4"/>
          <w:sz w:val="32"/>
        </w:rPr>
        <w:t>第三条　</w:t>
      </w:r>
      <w:r>
        <w:rPr>
          <w:rFonts w:hint="eastAsia" w:ascii="方正仿宋简体" w:hAnsi="方正仿宋简体" w:eastAsia="方正仿宋简体"/>
          <w:b/>
          <w:bCs/>
          <w:spacing w:val="-4"/>
          <w:sz w:val="32"/>
        </w:rPr>
        <w:t>开展市场主体公共信用综合评价，应遵循综合性、一致性、审慎性、可追溯的原则，根据信用评价指标体系，通过数据分析处理和综合计分，建立科学合理的公共信用综合评价制度。</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第四条　</w:t>
      </w:r>
      <w:r>
        <w:rPr>
          <w:rFonts w:hint="eastAsia" w:ascii="方正仿宋简体" w:hAnsi="方正仿宋简体" w:eastAsia="方正仿宋简体"/>
          <w:b/>
          <w:bCs/>
          <w:sz w:val="32"/>
        </w:rPr>
        <w:t>市场主体公共信用综合评价管理包括市场主体信用信息归集、评价标准、等级确定、分类管理、权益保护等内容。</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第五条　</w:t>
      </w:r>
      <w:r>
        <w:rPr>
          <w:rFonts w:hint="eastAsia" w:ascii="方正仿宋简体" w:hAnsi="方正仿宋简体" w:eastAsia="方正仿宋简体"/>
          <w:b/>
          <w:bCs/>
          <w:sz w:val="32"/>
        </w:rPr>
        <w:t>市社会信用中心负责我市公共信用信息平台建设、维护、管理，指导行业监管部门对市场主体相关信用信息的归集、更新与使用。</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第六条　</w:t>
      </w:r>
      <w:r>
        <w:rPr>
          <w:rFonts w:hint="eastAsia" w:ascii="方正仿宋简体" w:hAnsi="方正仿宋简体" w:eastAsia="方正仿宋简体"/>
          <w:b/>
          <w:bCs/>
          <w:sz w:val="32"/>
        </w:rPr>
        <w:t>行业主管部门负责本行业、本领域市场主体信用监管工作，行业监管部门依职责分工与事权划分负责市场主体相关信用信息归集、更新与使用。行业主管部门应当明确管理机构，由其负责组织协调、日常管理、检查督查和考核通报本行业、本领域的信用评价及应用工作。</w:t>
      </w:r>
    </w:p>
    <w:p>
      <w:pPr>
        <w:pStyle w:val="4"/>
        <w:keepNext w:val="0"/>
        <w:keepLines w:val="0"/>
        <w:pageBreakBefore w:val="0"/>
        <w:widowControl w:val="0"/>
        <w:tabs>
          <w:tab w:val="left" w:pos="2038"/>
        </w:tabs>
        <w:kinsoku/>
        <w:wordWrap/>
        <w:overflowPunct w:val="0"/>
        <w:topLinePunct/>
        <w:autoSpaceDE/>
        <w:autoSpaceDN/>
        <w:bidi w:val="0"/>
        <w:adjustRightInd w:val="0"/>
        <w:snapToGrid/>
        <w:spacing w:beforeLines="50" w:afterLines="50" w:line="580" w:lineRule="exact"/>
        <w:ind w:left="0"/>
        <w:jc w:val="center"/>
        <w:textAlignment w:val="baseline"/>
        <w:rPr>
          <w:rFonts w:ascii="方正黑体简体" w:hAnsi="Times New Roman" w:eastAsia="方正黑体简体" w:cs="黑体"/>
          <w:b/>
          <w:lang w:val="zh-CN" w:bidi="zh-CN"/>
        </w:rPr>
      </w:pPr>
      <w:r>
        <w:rPr>
          <w:rFonts w:hint="eastAsia" w:ascii="方正黑体简体" w:hAnsi="Times New Roman" w:eastAsia="方正黑体简体" w:cs="黑体"/>
          <w:b/>
          <w:lang w:val="zh-CN" w:bidi="zh-CN"/>
        </w:rPr>
        <w:t>第二章  信用信息归集</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第七条　</w:t>
      </w:r>
      <w:r>
        <w:rPr>
          <w:rFonts w:hint="eastAsia" w:ascii="方正仿宋简体" w:hAnsi="方正仿宋简体" w:eastAsia="方正仿宋简体"/>
          <w:b/>
          <w:bCs/>
          <w:sz w:val="32"/>
        </w:rPr>
        <w:t>市场主体信用信息包括：基础信息、守信信息、失信信息和其他信息。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第八条　</w:t>
      </w:r>
      <w:r>
        <w:rPr>
          <w:rFonts w:hint="eastAsia" w:ascii="方正仿宋简体" w:hAnsi="方正仿宋简体" w:eastAsia="方正仿宋简体"/>
          <w:b/>
          <w:bCs/>
          <w:sz w:val="32"/>
        </w:rPr>
        <w:t>市场主体的基础信息包括登记、行政许可等信息。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第九条　</w:t>
      </w:r>
      <w:r>
        <w:rPr>
          <w:rFonts w:hint="eastAsia" w:ascii="方正仿宋简体" w:hAnsi="方正仿宋简体" w:eastAsia="方正仿宋简体"/>
          <w:b/>
          <w:bCs/>
          <w:sz w:val="32"/>
        </w:rPr>
        <w:t>市场主体的守信信息包括：</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（一）政府部门公布的联合激励对象（守信红名单）信息；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（二）国家综合信用评价等级为“优”的信息；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（三）国家“互联网+监管”信用预警等级为“</w:t>
      </w:r>
      <w:r>
        <w:rPr>
          <w:rFonts w:ascii="Times New Roman" w:hAnsi="Times New Roman" w:eastAsia="方正仿宋简体" w:cs="Times New Roman"/>
          <w:b/>
          <w:bCs/>
          <w:sz w:val="32"/>
        </w:rPr>
        <w:t>A</w:t>
      </w:r>
      <w:r>
        <w:rPr>
          <w:rFonts w:hint="eastAsia" w:ascii="方正仿宋简体" w:hAnsi="方正仿宋简体" w:eastAsia="方正仿宋简体"/>
          <w:b/>
          <w:bCs/>
          <w:sz w:val="32"/>
        </w:rPr>
        <w:t>”的信息；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（四）税务部门开展的行业评价等级为“</w:t>
      </w:r>
      <w:r>
        <w:rPr>
          <w:rFonts w:ascii="Times New Roman" w:hAnsi="Times New Roman" w:eastAsia="方正仿宋简体" w:cs="Times New Roman"/>
          <w:b/>
          <w:bCs/>
          <w:sz w:val="32"/>
        </w:rPr>
        <w:t>A</w:t>
      </w:r>
      <w:r>
        <w:rPr>
          <w:rFonts w:hint="eastAsia" w:ascii="方正仿宋简体" w:hAnsi="方正仿宋简体" w:eastAsia="方正仿宋简体"/>
          <w:b/>
          <w:bCs/>
          <w:sz w:val="32"/>
        </w:rPr>
        <w:t>”的信息；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（五）生态环境、海关等部门开展的单一行业评价等级较高的信息；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（六）单位及单位主要负责人获得表彰、奖励和通报表扬等信息；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（七）单位在慈善捐赠、包村扶贫等社会公益、履行社会责任的信息；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（八）获得名牌企业、老字号企业、原产地标识企业、企业信用管理典型企业等品牌称号的信息；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（九）获得国家级、省级高新技术企业、省级服务业创新中心、企业技术中心、工程研究中心等称号或获得发明专利、著作权或商标注册的信息；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（十）国家、省、济宁市和曲阜市规定的其他信息。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第十条　</w:t>
      </w:r>
      <w:r>
        <w:rPr>
          <w:rFonts w:hint="eastAsia" w:ascii="方正仿宋简体" w:hAnsi="方正仿宋简体" w:eastAsia="方正仿宋简体"/>
          <w:b/>
          <w:bCs/>
          <w:sz w:val="32"/>
        </w:rPr>
        <w:t>市场主体失信信息是指依法依规编制的全国公共信用信息基础目录和地方补充目录中所列的对信用主体信用状况具有负面影响的信息。失信信息包括以下内容：</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（一）法院发布的被执行人和失信被执行人的信息；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（二）政府部门公布的严重失信主体名单信息；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（三）行政机关按普通程序作出的行政处罚信息；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（四）被列入市场监管部门经营异常名录的信息；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（五）国家公共信用综合评价等级为“差”的信息；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（六）国家“互联网+监管”信用预警等级为“</w:t>
      </w:r>
      <w:r>
        <w:rPr>
          <w:rFonts w:ascii="Times New Roman" w:hAnsi="Times New Roman" w:eastAsia="方正仿宋简体" w:cs="Times New Roman"/>
          <w:b/>
          <w:bCs/>
          <w:sz w:val="32"/>
        </w:rPr>
        <w:t>E</w:t>
      </w:r>
      <w:r>
        <w:rPr>
          <w:rFonts w:hint="eastAsia" w:ascii="方正仿宋简体" w:hAnsi="方正仿宋简体" w:eastAsia="方正仿宋简体"/>
          <w:b/>
          <w:bCs/>
          <w:sz w:val="32"/>
        </w:rPr>
        <w:t>”的信息；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（七）行政强制执行信息；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（八）法院生效判决涉及合同纠纷需承担责任方的信息；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（九）税务部门开展行业评价等级为“</w:t>
      </w:r>
      <w:r>
        <w:rPr>
          <w:rFonts w:ascii="Times New Roman" w:hAnsi="Times New Roman" w:eastAsia="方正仿宋简体" w:cs="Times New Roman"/>
          <w:b/>
          <w:bCs/>
          <w:sz w:val="32"/>
        </w:rPr>
        <w:t>D</w:t>
      </w:r>
      <w:r>
        <w:rPr>
          <w:rFonts w:hint="eastAsia" w:ascii="方正仿宋简体" w:hAnsi="方正仿宋简体" w:eastAsia="方正仿宋简体"/>
          <w:b/>
          <w:bCs/>
          <w:sz w:val="32"/>
        </w:rPr>
        <w:t>”的信息；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（十）生态环境、海关、交通运输等部门开展的单一行业评价等级较低的信息；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（十一）高管失信信息；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（十二）虚假承诺或违反信用承诺的信息；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（十三）隐瞒有关情况、提供虚假材料的信息；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（十四）拒不缴纳依法应当缴纳的税款、社会保险费、公积金、行政事业性收费、政府性基金等的信息；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（十五）其他失信信息。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第十一条　</w:t>
      </w:r>
      <w:r>
        <w:rPr>
          <w:rFonts w:hint="eastAsia" w:ascii="方正仿宋简体" w:hAnsi="方正仿宋简体" w:eastAsia="方正仿宋简体"/>
          <w:b/>
          <w:bCs/>
          <w:sz w:val="32"/>
        </w:rPr>
        <w:t>其他信息包括对市场主体的日常监督检查、专项检查、飞行检查、跟踪检查以及监督抽检、约谈等信用监管信息；信用承诺以及履行承诺信息；企业破产和退出信息；国家、省、济宁市和曲阜市规定的应当列入公共信用信息数据清单的其他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第十二条　</w:t>
      </w:r>
      <w:r>
        <w:rPr>
          <w:rFonts w:hint="eastAsia" w:ascii="方正仿宋简体" w:hAnsi="方正仿宋简体" w:eastAsia="方正仿宋简体"/>
          <w:b/>
          <w:bCs/>
          <w:sz w:val="32"/>
        </w:rPr>
        <w:t>市场主体信用信息采取监管部门提供和市场主体主动申报的方式归集。</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市场主体信用信息由监管部门提供的，遵循“谁许可谁录入、谁确认谁录入、谁检查谁录入、谁抽检谁录入、谁处罚谁录入、谁认定谁录入、谁录入谁负责”的原则。有关部门在归集信用信息时应告知市场主体以及可能产生的后果。市场主体在我市区域外的信用信息由负责日常监管的部门录入或者信用信息实现互联互通后由系统自动</w:t>
      </w:r>
      <w:r>
        <w:rPr>
          <w:rFonts w:hint="eastAsia" w:ascii="方正仿宋简体" w:hAnsi="方正仿宋简体" w:eastAsia="方正仿宋简体"/>
          <w:b/>
          <w:bCs/>
          <w:sz w:val="32"/>
          <w:lang w:val="en-US" w:eastAsia="zh-CN"/>
        </w:rPr>
        <w:t>抓取</w:t>
      </w:r>
      <w:r>
        <w:rPr>
          <w:rFonts w:hint="eastAsia" w:ascii="方正仿宋简体" w:hAnsi="方正仿宋简体" w:eastAsia="方正仿宋简体"/>
          <w:b/>
          <w:bCs/>
          <w:sz w:val="32"/>
        </w:rPr>
        <w:t>。</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市场主体的信用信息采取主动申报归集的，</w:t>
      </w:r>
      <w:r>
        <w:rPr>
          <w:rFonts w:hint="eastAsia" w:ascii="方正仿宋简体" w:hAnsi="方正仿宋简体" w:eastAsia="方正仿宋简体"/>
          <w:b/>
          <w:bCs/>
          <w:sz w:val="32"/>
          <w:lang w:val="en-US" w:eastAsia="zh-CN"/>
        </w:rPr>
        <w:t>由</w:t>
      </w:r>
      <w:r>
        <w:rPr>
          <w:rFonts w:hint="eastAsia" w:ascii="方正仿宋简体" w:hAnsi="方正仿宋简体" w:eastAsia="方正仿宋简体"/>
          <w:b/>
          <w:bCs/>
          <w:sz w:val="32"/>
        </w:rPr>
        <w:t>市场主体通过“信用中国（山东曲阜）”网站，以“自愿填报+信用承诺”等方式，向市公共信用信息平台提报表彰奖励、公益慈善捐赠、品牌建设和技术水平等相关信用信息和证明，并对提供信息的合法性、真实性负责。</w:t>
      </w:r>
    </w:p>
    <w:p>
      <w:pPr>
        <w:pStyle w:val="4"/>
        <w:keepNext w:val="0"/>
        <w:keepLines w:val="0"/>
        <w:pageBreakBefore w:val="0"/>
        <w:widowControl w:val="0"/>
        <w:tabs>
          <w:tab w:val="left" w:pos="2038"/>
        </w:tabs>
        <w:kinsoku/>
        <w:wordWrap/>
        <w:overflowPunct w:val="0"/>
        <w:topLinePunct/>
        <w:autoSpaceDE/>
        <w:autoSpaceDN/>
        <w:bidi w:val="0"/>
        <w:adjustRightInd w:val="0"/>
        <w:snapToGrid/>
        <w:spacing w:beforeLines="50" w:afterLines="50" w:line="580" w:lineRule="exact"/>
        <w:ind w:left="0"/>
        <w:jc w:val="center"/>
        <w:textAlignment w:val="baseline"/>
        <w:rPr>
          <w:rFonts w:hint="eastAsia" w:ascii="方正黑体简体" w:hAnsi="Times New Roman" w:eastAsia="方正黑体简体" w:cs="黑体"/>
          <w:b/>
          <w:lang w:val="zh-CN" w:bidi="zh-CN"/>
        </w:rPr>
      </w:pPr>
      <w:r>
        <w:rPr>
          <w:rFonts w:hint="eastAsia" w:ascii="方正黑体简体" w:hAnsi="Times New Roman" w:eastAsia="方正黑体简体" w:cs="黑体"/>
          <w:b/>
          <w:lang w:val="zh-CN" w:bidi="zh-CN"/>
        </w:rPr>
        <w:t>第三章  信用综合评价体系</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第十三条　</w:t>
      </w:r>
      <w:r>
        <w:rPr>
          <w:rFonts w:hint="eastAsia" w:ascii="方正仿宋简体" w:hAnsi="方正仿宋简体" w:eastAsia="方正仿宋简体"/>
          <w:b/>
          <w:bCs/>
          <w:sz w:val="32"/>
        </w:rPr>
        <w:t>公共信用综合评价，由市社会信用中心依托市公共信用信息平台，整合国家、省、济宁市和曲阜市归集共享的公共信用信息，</w:t>
      </w:r>
      <w:r>
        <w:rPr>
          <w:rFonts w:hint="eastAsia" w:ascii="方正仿宋简体" w:hAnsi="方正仿宋简体" w:eastAsia="方正仿宋简体"/>
          <w:b/>
          <w:bCs/>
          <w:sz w:val="32"/>
          <w:lang w:val="en-US" w:eastAsia="zh-CN"/>
        </w:rPr>
        <w:t>建立</w:t>
      </w:r>
      <w:r>
        <w:rPr>
          <w:rFonts w:hint="eastAsia" w:ascii="方正仿宋简体" w:hAnsi="方正仿宋简体" w:eastAsia="方正仿宋简体"/>
          <w:b/>
          <w:bCs/>
          <w:sz w:val="32"/>
        </w:rPr>
        <w:t>统一的指标体系，对市场主体作出公共信用综合评价。</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第十四条　</w:t>
      </w:r>
      <w:r>
        <w:rPr>
          <w:rFonts w:hint="eastAsia" w:ascii="方正仿宋简体" w:hAnsi="方正仿宋简体" w:eastAsia="方正仿宋简体"/>
          <w:b/>
          <w:bCs/>
          <w:sz w:val="32"/>
        </w:rPr>
        <w:t>鼓励开展公共信用综合评价、行业信用评价和市场信用评价相结合的综合信用评价。行业信用评价结果和市场信用评价结果可纳入公共信用综合评价指标体系。</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第十五条　</w:t>
      </w:r>
      <w:r>
        <w:rPr>
          <w:rFonts w:hint="eastAsia" w:ascii="方正仿宋简体" w:hAnsi="方正仿宋简体" w:eastAsia="方正仿宋简体"/>
          <w:b/>
          <w:bCs/>
          <w:sz w:val="32"/>
        </w:rPr>
        <w:t>公共信用综合评价原则上每季度进行一次，以季度末我市公共信用信息平台归集的有效、实时数据为基准。</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第十六条　</w:t>
      </w:r>
      <w:r>
        <w:rPr>
          <w:rFonts w:hint="eastAsia" w:ascii="方正仿宋简体" w:hAnsi="方正仿宋简体" w:eastAsia="方正仿宋简体"/>
          <w:b/>
          <w:bCs/>
          <w:sz w:val="32"/>
        </w:rPr>
        <w:t>公共信用综合评价结果以政务共享的方式推送给有关行业监管部门，不作为政府部门对市场主体信用状况的背书。</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第十七条　</w:t>
      </w:r>
      <w:r>
        <w:rPr>
          <w:rFonts w:hint="eastAsia" w:ascii="方正仿宋简体" w:hAnsi="方正仿宋简体" w:eastAsia="方正仿宋简体"/>
          <w:b/>
          <w:bCs/>
          <w:sz w:val="32"/>
        </w:rPr>
        <w:t>公共信用综合评价实行积分管理，赋予每个市场</w:t>
      </w:r>
      <w:r>
        <w:rPr>
          <w:rFonts w:hint="eastAsia" w:ascii="Times New Roman" w:hAnsi="Times New Roman" w:eastAsia="方正仿宋简体" w:cs="Times New Roman"/>
          <w:b/>
          <w:bCs/>
          <w:sz w:val="32"/>
        </w:rPr>
        <w:t>主体</w:t>
      </w:r>
      <w:r>
        <w:rPr>
          <w:rFonts w:ascii="Times New Roman" w:hAnsi="Times New Roman" w:eastAsia="方正仿宋简体" w:cs="Times New Roman"/>
          <w:b/>
          <w:bCs/>
          <w:sz w:val="32"/>
        </w:rPr>
        <w:t>1000</w:t>
      </w:r>
      <w:r>
        <w:rPr>
          <w:rFonts w:hint="eastAsia" w:ascii="方正仿宋简体" w:hAnsi="方正仿宋简体" w:eastAsia="方正仿宋简体"/>
          <w:b/>
          <w:bCs/>
          <w:sz w:val="32"/>
        </w:rPr>
        <w:t>分基本分值，在此基础上，依据守信信息和失信信息指标进行加分、减分，形成综合评定结果。</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第十八条　</w:t>
      </w:r>
      <w:r>
        <w:rPr>
          <w:rFonts w:hint="eastAsia" w:ascii="方正仿宋简体" w:hAnsi="方正仿宋简体" w:eastAsia="方正仿宋简体"/>
          <w:b/>
          <w:bCs/>
          <w:sz w:val="32"/>
        </w:rPr>
        <w:t>市场主体公共信用综合评价指标体系，根据实际情况，及时进行动态调整和优化。按照《山东省社会信用条例》的规定，适用简易程序作出的行政处罚信息，或者违法行为轻微且主动消除、减轻违法行为危害后果的行政处罚信息，不纳入公共信用信息数据清单。</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第十九条　</w:t>
      </w:r>
      <w:r>
        <w:rPr>
          <w:rFonts w:hint="eastAsia" w:ascii="方正仿宋简体" w:hAnsi="方正仿宋简体" w:eastAsia="方正仿宋简体"/>
          <w:b/>
          <w:bCs/>
          <w:sz w:val="32"/>
        </w:rPr>
        <w:t>根据</w:t>
      </w:r>
      <w:r>
        <w:rPr>
          <w:rFonts w:hint="eastAsia" w:ascii="方正仿宋简体" w:hAnsi="方正仿宋简体" w:eastAsia="方正仿宋简体"/>
          <w:b/>
          <w:bCs/>
          <w:sz w:val="32"/>
          <w:lang w:val="en-US" w:eastAsia="zh-CN"/>
        </w:rPr>
        <w:t>山东</w:t>
      </w:r>
      <w:r>
        <w:rPr>
          <w:rFonts w:hint="eastAsia" w:ascii="方正仿宋简体" w:hAnsi="方正仿宋简体" w:eastAsia="方正仿宋简体"/>
          <w:b/>
          <w:bCs/>
          <w:sz w:val="32"/>
        </w:rPr>
        <w:t>省委办公厅、省政府办公厅《差异化监管流程再造实施方案》规定，将各类市场主体划分为诚信守法、轻微失信、一般失信、严重失信四个类别。</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第二十条　</w:t>
      </w:r>
      <w:r>
        <w:rPr>
          <w:rFonts w:hint="eastAsia" w:ascii="方正仿宋简体" w:hAnsi="方正仿宋简体" w:eastAsia="方正仿宋简体"/>
          <w:b/>
          <w:bCs/>
          <w:sz w:val="32"/>
        </w:rPr>
        <w:t>为准确反映市场主体信用风险等级，进一步将市场主体信用评价由高到低，细分为</w:t>
      </w:r>
      <w:r>
        <w:rPr>
          <w:rFonts w:ascii="Times New Roman" w:hAnsi="Times New Roman" w:eastAsia="方正仿宋简体" w:cs="Times New Roman"/>
          <w:b/>
          <w:bCs/>
          <w:sz w:val="32"/>
        </w:rPr>
        <w:t>A</w:t>
      </w:r>
      <w:r>
        <w:rPr>
          <w:rFonts w:hint="eastAsia" w:ascii="Times New Roman" w:hAnsi="Times New Roman" w:eastAsia="方正仿宋简体" w:cs="Times New Roman"/>
          <w:b/>
          <w:bCs/>
          <w:sz w:val="32"/>
        </w:rPr>
        <w:t>+、</w:t>
      </w:r>
      <w:r>
        <w:rPr>
          <w:rFonts w:ascii="Times New Roman" w:hAnsi="Times New Roman" w:eastAsia="方正仿宋简体" w:cs="Times New Roman"/>
          <w:b/>
          <w:bCs/>
          <w:sz w:val="32"/>
        </w:rPr>
        <w:t>A</w:t>
      </w:r>
      <w:r>
        <w:rPr>
          <w:rFonts w:hint="eastAsia" w:ascii="Times New Roman" w:hAnsi="Times New Roman" w:eastAsia="方正仿宋简体" w:cs="Times New Roman"/>
          <w:b/>
          <w:bCs/>
          <w:sz w:val="32"/>
        </w:rPr>
        <w:t>、</w:t>
      </w:r>
      <w:r>
        <w:rPr>
          <w:rFonts w:ascii="Times New Roman" w:hAnsi="Times New Roman" w:eastAsia="方正仿宋简体" w:cs="Times New Roman"/>
          <w:b/>
          <w:bCs/>
          <w:sz w:val="32"/>
        </w:rPr>
        <w:t>B</w:t>
      </w:r>
      <w:r>
        <w:rPr>
          <w:rFonts w:hint="eastAsia" w:ascii="Times New Roman" w:hAnsi="Times New Roman" w:eastAsia="方正仿宋简体" w:cs="Times New Roman"/>
          <w:b/>
          <w:bCs/>
          <w:sz w:val="32"/>
        </w:rPr>
        <w:t>、</w:t>
      </w:r>
      <w:r>
        <w:rPr>
          <w:rFonts w:ascii="Times New Roman" w:hAnsi="Times New Roman" w:eastAsia="方正仿宋简体" w:cs="Times New Roman"/>
          <w:b/>
          <w:bCs/>
          <w:sz w:val="32"/>
        </w:rPr>
        <w:t>C</w:t>
      </w:r>
      <w:r>
        <w:rPr>
          <w:rFonts w:hint="eastAsia" w:ascii="Times New Roman" w:hAnsi="Times New Roman" w:eastAsia="方正仿宋简体" w:cs="Times New Roman"/>
          <w:b/>
          <w:bCs/>
          <w:sz w:val="32"/>
        </w:rPr>
        <w:t>、</w:t>
      </w:r>
      <w:r>
        <w:rPr>
          <w:rFonts w:ascii="Times New Roman" w:hAnsi="Times New Roman" w:eastAsia="方正仿宋简体" w:cs="Times New Roman"/>
          <w:b/>
          <w:bCs/>
          <w:sz w:val="32"/>
        </w:rPr>
        <w:t>C</w:t>
      </w:r>
      <w:r>
        <w:rPr>
          <w:rFonts w:hint="eastAsia" w:ascii="Times New Roman" w:hAnsi="Times New Roman" w:eastAsia="方正仿宋简体" w:cs="Times New Roman"/>
          <w:b/>
          <w:bCs/>
          <w:sz w:val="32"/>
        </w:rPr>
        <w:t>－、</w:t>
      </w:r>
      <w:r>
        <w:rPr>
          <w:rFonts w:ascii="Times New Roman" w:hAnsi="Times New Roman" w:eastAsia="方正仿宋简体" w:cs="Times New Roman"/>
          <w:b/>
          <w:bCs/>
          <w:sz w:val="32"/>
        </w:rPr>
        <w:t>D</w:t>
      </w:r>
      <w:r>
        <w:rPr>
          <w:rFonts w:hint="eastAsia" w:ascii="Times New Roman" w:hAnsi="Times New Roman" w:eastAsia="方正仿宋简体" w:cs="Times New Roman"/>
          <w:b/>
          <w:bCs/>
          <w:sz w:val="32"/>
        </w:rPr>
        <w:t>、</w:t>
      </w:r>
      <w:r>
        <w:rPr>
          <w:rFonts w:ascii="Times New Roman" w:hAnsi="Times New Roman" w:eastAsia="方正仿宋简体" w:cs="Times New Roman"/>
          <w:b/>
          <w:bCs/>
          <w:sz w:val="32"/>
        </w:rPr>
        <w:t>D</w:t>
      </w:r>
      <w:r>
        <w:rPr>
          <w:rFonts w:hint="eastAsia" w:ascii="Times New Roman" w:hAnsi="Times New Roman" w:eastAsia="方正仿宋简体" w:cs="Times New Roman"/>
          <w:b/>
          <w:bCs/>
          <w:sz w:val="32"/>
        </w:rPr>
        <w:t>－</w:t>
      </w:r>
      <w:r>
        <w:rPr>
          <w:rFonts w:hint="eastAsia" w:ascii="方正仿宋简体" w:hAnsi="方正仿宋简体" w:eastAsia="方正仿宋简体"/>
          <w:b/>
          <w:bCs/>
          <w:sz w:val="32"/>
        </w:rPr>
        <w:t>七个等级。各类别、级别对应的具体分值如下：</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（一）诚信守法类包括</w:t>
      </w:r>
      <w:r>
        <w:rPr>
          <w:rFonts w:ascii="Times New Roman" w:hAnsi="Times New Roman" w:eastAsia="方正仿宋简体" w:cs="Times New Roman"/>
          <w:b/>
          <w:bCs/>
          <w:sz w:val="32"/>
        </w:rPr>
        <w:t>A</w:t>
      </w:r>
      <w:r>
        <w:rPr>
          <w:rFonts w:hint="eastAsia" w:ascii="Times New Roman" w:hAnsi="Times New Roman" w:eastAsia="方正仿宋简体" w:cs="Times New Roman"/>
          <w:b/>
          <w:bCs/>
          <w:sz w:val="32"/>
        </w:rPr>
        <w:t>+</w:t>
      </w:r>
      <w:r>
        <w:rPr>
          <w:rFonts w:hint="eastAsia" w:ascii="方正仿宋简体" w:hAnsi="方正仿宋简体" w:eastAsia="方正仿宋简体"/>
          <w:b/>
          <w:bCs/>
          <w:sz w:val="32"/>
        </w:rPr>
        <w:t>级、</w:t>
      </w:r>
      <w:r>
        <w:rPr>
          <w:rFonts w:ascii="Times New Roman" w:hAnsi="Times New Roman" w:eastAsia="方正仿宋简体" w:cs="Times New Roman"/>
          <w:b/>
          <w:bCs/>
          <w:sz w:val="32"/>
        </w:rPr>
        <w:t>A</w:t>
      </w:r>
      <w:r>
        <w:rPr>
          <w:rFonts w:hint="eastAsia" w:ascii="方正仿宋简体" w:hAnsi="方正仿宋简体" w:eastAsia="方正仿宋简体"/>
          <w:b/>
          <w:bCs/>
          <w:sz w:val="32"/>
        </w:rPr>
        <w:t>级，</w:t>
      </w:r>
      <w:r>
        <w:rPr>
          <w:rFonts w:ascii="Times New Roman" w:hAnsi="Times New Roman" w:eastAsia="方正仿宋简体" w:cs="Times New Roman"/>
          <w:b/>
          <w:bCs/>
          <w:sz w:val="32"/>
        </w:rPr>
        <w:t>A</w:t>
      </w:r>
      <w:r>
        <w:rPr>
          <w:rFonts w:hint="eastAsia" w:ascii="Times New Roman" w:hAnsi="Times New Roman" w:eastAsia="方正仿宋简体" w:cs="Times New Roman"/>
          <w:b/>
          <w:bCs/>
          <w:sz w:val="32"/>
        </w:rPr>
        <w:t>+</w:t>
      </w:r>
      <w:r>
        <w:rPr>
          <w:rFonts w:hint="eastAsia" w:ascii="方正仿宋简体" w:hAnsi="方正仿宋简体" w:eastAsia="方正仿宋简体"/>
          <w:b/>
          <w:bCs/>
          <w:sz w:val="32"/>
        </w:rPr>
        <w:t>级分值为</w:t>
      </w:r>
      <w:r>
        <w:rPr>
          <w:rFonts w:ascii="Times New Roman" w:hAnsi="Times New Roman" w:eastAsia="方正仿宋简体" w:cs="Times New Roman"/>
          <w:b/>
          <w:bCs/>
          <w:sz w:val="32"/>
        </w:rPr>
        <w:t>1001</w:t>
      </w:r>
      <w:r>
        <w:rPr>
          <w:rFonts w:hint="eastAsia" w:ascii="方正仿宋简体" w:hAnsi="方正仿宋简体" w:eastAsia="方正仿宋简体"/>
          <w:b/>
          <w:bCs/>
          <w:sz w:val="32"/>
        </w:rPr>
        <w:t>分及以上，</w:t>
      </w:r>
      <w:r>
        <w:rPr>
          <w:rFonts w:ascii="Times New Roman" w:hAnsi="Times New Roman" w:eastAsia="方正仿宋简体" w:cs="Times New Roman"/>
          <w:b/>
          <w:bCs/>
          <w:sz w:val="32"/>
        </w:rPr>
        <w:t>A</w:t>
      </w:r>
      <w:r>
        <w:rPr>
          <w:rFonts w:hint="eastAsia" w:ascii="方正仿宋简体" w:hAnsi="方正仿宋简体" w:eastAsia="方正仿宋简体"/>
          <w:b/>
          <w:bCs/>
          <w:sz w:val="32"/>
        </w:rPr>
        <w:t>级分值为</w:t>
      </w:r>
      <w:r>
        <w:rPr>
          <w:rFonts w:ascii="Times New Roman" w:hAnsi="Times New Roman" w:eastAsia="方正仿宋简体" w:cs="Times New Roman"/>
          <w:b/>
          <w:bCs/>
          <w:sz w:val="32"/>
        </w:rPr>
        <w:t>1000</w:t>
      </w:r>
      <w:r>
        <w:rPr>
          <w:rFonts w:hint="eastAsia" w:ascii="方正仿宋简体" w:hAnsi="方正仿宋简体" w:eastAsia="方正仿宋简体"/>
          <w:b/>
          <w:bCs/>
          <w:sz w:val="32"/>
        </w:rPr>
        <w:t>分；</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（二）轻微失信类为</w:t>
      </w:r>
      <w:r>
        <w:rPr>
          <w:rFonts w:ascii="Times New Roman" w:hAnsi="Times New Roman" w:eastAsia="方正仿宋简体" w:cs="Times New Roman"/>
          <w:b/>
          <w:bCs/>
          <w:sz w:val="32"/>
        </w:rPr>
        <w:t>B</w:t>
      </w:r>
      <w:r>
        <w:rPr>
          <w:rFonts w:hint="eastAsia" w:ascii="方正仿宋简体" w:hAnsi="方正仿宋简体" w:eastAsia="方正仿宋简体"/>
          <w:b/>
          <w:bCs/>
          <w:sz w:val="32"/>
        </w:rPr>
        <w:t>级，</w:t>
      </w:r>
      <w:r>
        <w:rPr>
          <w:rFonts w:ascii="Times New Roman" w:hAnsi="Times New Roman" w:eastAsia="方正仿宋简体" w:cs="Times New Roman"/>
          <w:b/>
          <w:bCs/>
          <w:sz w:val="32"/>
        </w:rPr>
        <w:t>B</w:t>
      </w:r>
      <w:r>
        <w:rPr>
          <w:rFonts w:hint="eastAsia" w:ascii="方正仿宋简体" w:hAnsi="方正仿宋简体" w:eastAsia="方正仿宋简体"/>
          <w:b/>
          <w:bCs/>
          <w:sz w:val="32"/>
        </w:rPr>
        <w:t>级分值为</w:t>
      </w:r>
      <w:r>
        <w:rPr>
          <w:rFonts w:ascii="Times New Roman" w:hAnsi="Times New Roman" w:eastAsia="方正仿宋简体" w:cs="Times New Roman"/>
          <w:b/>
          <w:bCs/>
          <w:sz w:val="32"/>
        </w:rPr>
        <w:t>970</w:t>
      </w:r>
      <w:r>
        <w:rPr>
          <w:rFonts w:hint="eastAsia" w:ascii="方正仿宋简体" w:hAnsi="方正仿宋简体" w:eastAsia="方正仿宋简体"/>
          <w:b/>
          <w:bCs/>
          <w:sz w:val="32"/>
        </w:rPr>
        <w:t>分至</w:t>
      </w:r>
      <w:r>
        <w:rPr>
          <w:rFonts w:ascii="Times New Roman" w:hAnsi="Times New Roman" w:eastAsia="方正仿宋简体" w:cs="Times New Roman"/>
          <w:b/>
          <w:bCs/>
          <w:sz w:val="32"/>
        </w:rPr>
        <w:t>999</w:t>
      </w:r>
      <w:r>
        <w:rPr>
          <w:rFonts w:hint="eastAsia" w:ascii="方正仿宋简体" w:hAnsi="方正仿宋简体" w:eastAsia="方正仿宋简体"/>
          <w:b/>
          <w:bCs/>
          <w:sz w:val="32"/>
        </w:rPr>
        <w:t>分；</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（三）一般失信类包括</w:t>
      </w:r>
      <w:r>
        <w:rPr>
          <w:rFonts w:ascii="Times New Roman" w:hAnsi="Times New Roman" w:eastAsia="方正仿宋简体" w:cs="Times New Roman"/>
          <w:b/>
          <w:bCs/>
          <w:sz w:val="32"/>
        </w:rPr>
        <w:t>C</w:t>
      </w:r>
      <w:r>
        <w:rPr>
          <w:rFonts w:hint="eastAsia" w:ascii="方正仿宋简体" w:hAnsi="方正仿宋简体" w:eastAsia="方正仿宋简体"/>
          <w:b/>
          <w:bCs/>
          <w:sz w:val="32"/>
        </w:rPr>
        <w:t>级、</w:t>
      </w:r>
      <w:r>
        <w:rPr>
          <w:rFonts w:ascii="Times New Roman" w:hAnsi="Times New Roman" w:eastAsia="方正仿宋简体" w:cs="Times New Roman"/>
          <w:b/>
          <w:bCs/>
          <w:sz w:val="32"/>
        </w:rPr>
        <w:t>C</w:t>
      </w:r>
      <w:r>
        <w:rPr>
          <w:rFonts w:hint="eastAsia" w:ascii="Times New Roman" w:hAnsi="Times New Roman" w:eastAsia="方正仿宋简体" w:cs="Times New Roman"/>
          <w:b/>
          <w:bCs/>
          <w:sz w:val="32"/>
        </w:rPr>
        <w:t>－</w:t>
      </w:r>
      <w:r>
        <w:rPr>
          <w:rFonts w:hint="eastAsia" w:ascii="方正仿宋简体" w:hAnsi="方正仿宋简体" w:eastAsia="方正仿宋简体"/>
          <w:b/>
          <w:bCs/>
          <w:sz w:val="32"/>
        </w:rPr>
        <w:t>级，</w:t>
      </w:r>
      <w:r>
        <w:rPr>
          <w:rFonts w:ascii="Times New Roman" w:hAnsi="Times New Roman" w:eastAsia="方正仿宋简体" w:cs="Times New Roman"/>
          <w:b/>
          <w:bCs/>
          <w:sz w:val="32"/>
        </w:rPr>
        <w:t>C</w:t>
      </w:r>
      <w:r>
        <w:rPr>
          <w:rFonts w:hint="eastAsia" w:ascii="方正仿宋简体" w:hAnsi="方正仿宋简体" w:eastAsia="方正仿宋简体"/>
          <w:b/>
          <w:bCs/>
          <w:sz w:val="32"/>
        </w:rPr>
        <w:t>级分值为</w:t>
      </w:r>
      <w:r>
        <w:rPr>
          <w:rFonts w:ascii="Times New Roman" w:hAnsi="Times New Roman" w:eastAsia="方正仿宋简体" w:cs="Times New Roman"/>
          <w:b/>
          <w:bCs/>
          <w:sz w:val="32"/>
        </w:rPr>
        <w:t>900</w:t>
      </w:r>
      <w:r>
        <w:rPr>
          <w:rFonts w:hint="eastAsia" w:ascii="方正仿宋简体" w:hAnsi="方正仿宋简体" w:eastAsia="方正仿宋简体"/>
          <w:b/>
          <w:bCs/>
          <w:sz w:val="32"/>
        </w:rPr>
        <w:t>分至</w:t>
      </w:r>
      <w:r>
        <w:rPr>
          <w:rFonts w:ascii="Times New Roman" w:hAnsi="Times New Roman" w:eastAsia="方正仿宋简体" w:cs="Times New Roman"/>
          <w:b/>
          <w:bCs/>
          <w:sz w:val="32"/>
        </w:rPr>
        <w:t>969</w:t>
      </w:r>
      <w:r>
        <w:rPr>
          <w:rFonts w:hint="eastAsia" w:ascii="方正仿宋简体" w:hAnsi="方正仿宋简体" w:eastAsia="方正仿宋简体"/>
          <w:b/>
          <w:bCs/>
          <w:sz w:val="32"/>
        </w:rPr>
        <w:t>分；</w:t>
      </w:r>
      <w:r>
        <w:rPr>
          <w:rFonts w:ascii="Times New Roman" w:hAnsi="Times New Roman" w:eastAsia="方正仿宋简体" w:cs="Times New Roman"/>
          <w:b/>
          <w:bCs/>
          <w:sz w:val="32"/>
        </w:rPr>
        <w:t>C</w:t>
      </w:r>
      <w:r>
        <w:rPr>
          <w:rFonts w:hint="eastAsia" w:ascii="Times New Roman" w:hAnsi="Times New Roman" w:eastAsia="方正仿宋简体" w:cs="Times New Roman"/>
          <w:b/>
          <w:bCs/>
          <w:sz w:val="32"/>
        </w:rPr>
        <w:t>－</w:t>
      </w:r>
      <w:r>
        <w:rPr>
          <w:rFonts w:hint="eastAsia" w:ascii="方正仿宋简体" w:hAnsi="方正仿宋简体" w:eastAsia="方正仿宋简体"/>
          <w:b/>
          <w:bCs/>
          <w:sz w:val="32"/>
        </w:rPr>
        <w:t>级分值为</w:t>
      </w:r>
      <w:r>
        <w:rPr>
          <w:rFonts w:ascii="Times New Roman" w:hAnsi="Times New Roman" w:eastAsia="方正仿宋简体" w:cs="Times New Roman"/>
          <w:b/>
          <w:bCs/>
          <w:sz w:val="32"/>
        </w:rPr>
        <w:t>801</w:t>
      </w:r>
      <w:r>
        <w:rPr>
          <w:rFonts w:hint="eastAsia" w:ascii="方正仿宋简体" w:hAnsi="方正仿宋简体" w:eastAsia="方正仿宋简体"/>
          <w:b/>
          <w:bCs/>
          <w:sz w:val="32"/>
        </w:rPr>
        <w:t>至</w:t>
      </w:r>
      <w:r>
        <w:rPr>
          <w:rFonts w:ascii="Times New Roman" w:hAnsi="Times New Roman" w:eastAsia="方正仿宋简体" w:cs="Times New Roman"/>
          <w:b/>
          <w:bCs/>
          <w:sz w:val="32"/>
        </w:rPr>
        <w:t>899</w:t>
      </w:r>
      <w:r>
        <w:rPr>
          <w:rFonts w:hint="eastAsia" w:ascii="方正仿宋简体" w:hAnsi="方正仿宋简体" w:eastAsia="方正仿宋简体"/>
          <w:b/>
          <w:bCs/>
          <w:sz w:val="32"/>
        </w:rPr>
        <w:t>分；</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（四）严重失信类包括</w:t>
      </w:r>
      <w:r>
        <w:rPr>
          <w:rFonts w:ascii="Times New Roman" w:hAnsi="Times New Roman" w:eastAsia="方正仿宋简体" w:cs="Times New Roman"/>
          <w:b/>
          <w:bCs/>
          <w:sz w:val="32"/>
        </w:rPr>
        <w:t>D</w:t>
      </w:r>
      <w:r>
        <w:rPr>
          <w:rFonts w:hint="eastAsia" w:ascii="方正仿宋简体" w:hAnsi="方正仿宋简体" w:eastAsia="方正仿宋简体"/>
          <w:b/>
          <w:bCs/>
          <w:sz w:val="32"/>
        </w:rPr>
        <w:t>级、</w:t>
      </w:r>
      <w:r>
        <w:rPr>
          <w:rFonts w:ascii="Times New Roman" w:hAnsi="Times New Roman" w:eastAsia="方正仿宋简体" w:cs="Times New Roman"/>
          <w:b/>
          <w:bCs/>
          <w:sz w:val="32"/>
        </w:rPr>
        <w:t>D</w:t>
      </w:r>
      <w:r>
        <w:rPr>
          <w:rFonts w:hint="eastAsia" w:ascii="Times New Roman" w:hAnsi="Times New Roman" w:eastAsia="方正仿宋简体" w:cs="Times New Roman"/>
          <w:b/>
          <w:bCs/>
          <w:sz w:val="32"/>
        </w:rPr>
        <w:t>－</w:t>
      </w:r>
      <w:r>
        <w:rPr>
          <w:rFonts w:hint="eastAsia" w:ascii="方正仿宋简体" w:hAnsi="方正仿宋简体" w:eastAsia="方正仿宋简体"/>
          <w:b/>
          <w:bCs/>
          <w:sz w:val="32"/>
        </w:rPr>
        <w:t>级，</w:t>
      </w:r>
      <w:r>
        <w:rPr>
          <w:rFonts w:ascii="Times New Roman" w:hAnsi="Times New Roman" w:eastAsia="方正仿宋简体" w:cs="Times New Roman"/>
          <w:b/>
          <w:bCs/>
          <w:sz w:val="32"/>
        </w:rPr>
        <w:t>D</w:t>
      </w:r>
      <w:r>
        <w:rPr>
          <w:rFonts w:hint="eastAsia" w:ascii="方正仿宋简体" w:hAnsi="方正仿宋简体" w:eastAsia="方正仿宋简体"/>
          <w:b/>
          <w:bCs/>
          <w:sz w:val="32"/>
        </w:rPr>
        <w:t>级分值为</w:t>
      </w:r>
      <w:r>
        <w:rPr>
          <w:rFonts w:ascii="Times New Roman" w:hAnsi="Times New Roman" w:eastAsia="方正仿宋简体" w:cs="Times New Roman"/>
          <w:b/>
          <w:bCs/>
          <w:sz w:val="32"/>
        </w:rPr>
        <w:t>701</w:t>
      </w:r>
      <w:r>
        <w:rPr>
          <w:rFonts w:hint="eastAsia" w:ascii="方正仿宋简体" w:hAnsi="方正仿宋简体" w:eastAsia="方正仿宋简体"/>
          <w:b/>
          <w:bCs/>
          <w:sz w:val="32"/>
        </w:rPr>
        <w:t>分至</w:t>
      </w:r>
      <w:r>
        <w:rPr>
          <w:rFonts w:ascii="Times New Roman" w:hAnsi="Times New Roman" w:eastAsia="方正仿宋简体" w:cs="Times New Roman"/>
          <w:b/>
          <w:bCs/>
          <w:sz w:val="32"/>
        </w:rPr>
        <w:t>800</w:t>
      </w:r>
      <w:r>
        <w:rPr>
          <w:rFonts w:hint="eastAsia" w:ascii="方正仿宋简体" w:hAnsi="方正仿宋简体" w:eastAsia="方正仿宋简体"/>
          <w:b/>
          <w:bCs/>
          <w:sz w:val="32"/>
        </w:rPr>
        <w:t>分；</w:t>
      </w:r>
      <w:r>
        <w:rPr>
          <w:rFonts w:ascii="Times New Roman" w:hAnsi="Times New Roman" w:eastAsia="方正仿宋简体" w:cs="Times New Roman"/>
          <w:b/>
          <w:bCs/>
          <w:sz w:val="32"/>
        </w:rPr>
        <w:t>D</w:t>
      </w:r>
      <w:r>
        <w:rPr>
          <w:rFonts w:hint="eastAsia" w:ascii="Times New Roman" w:hAnsi="Times New Roman" w:eastAsia="方正仿宋简体" w:cs="Times New Roman"/>
          <w:b/>
          <w:bCs/>
          <w:sz w:val="32"/>
        </w:rPr>
        <w:t>－</w:t>
      </w:r>
      <w:r>
        <w:rPr>
          <w:rFonts w:hint="eastAsia" w:ascii="方正仿宋简体" w:hAnsi="方正仿宋简体" w:eastAsia="方正仿宋简体"/>
          <w:b/>
          <w:bCs/>
          <w:sz w:val="32"/>
        </w:rPr>
        <w:t>级分值为</w:t>
      </w:r>
      <w:r>
        <w:rPr>
          <w:rFonts w:ascii="Times New Roman" w:hAnsi="Times New Roman" w:eastAsia="方正仿宋简体" w:cs="Times New Roman"/>
          <w:b/>
          <w:bCs/>
          <w:sz w:val="32"/>
        </w:rPr>
        <w:t>700</w:t>
      </w:r>
      <w:r>
        <w:rPr>
          <w:rFonts w:hint="eastAsia" w:ascii="方正仿宋简体" w:hAnsi="方正仿宋简体" w:eastAsia="方正仿宋简体"/>
          <w:b/>
          <w:bCs/>
          <w:sz w:val="32"/>
        </w:rPr>
        <w:t>分及其以下。</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第二十一条　</w:t>
      </w:r>
      <w:r>
        <w:rPr>
          <w:rFonts w:hint="eastAsia" w:ascii="方正仿宋简体" w:hAnsi="方正仿宋简体" w:eastAsia="方正仿宋简体"/>
          <w:b/>
          <w:bCs/>
          <w:sz w:val="32"/>
        </w:rPr>
        <w:t>市场主体具有《国务院关于建立完善守信联合激励和失信联合惩戒制度加快推进社会诚信建设的指导意见》规定的四类严重失信行为信息的，认定为</w:t>
      </w:r>
      <w:r>
        <w:rPr>
          <w:rFonts w:ascii="Times New Roman" w:hAnsi="Times New Roman" w:eastAsia="方正仿宋简体" w:cs="Times New Roman"/>
          <w:b/>
          <w:bCs/>
          <w:sz w:val="32"/>
        </w:rPr>
        <w:t>D</w:t>
      </w:r>
      <w:r>
        <w:rPr>
          <w:rFonts w:hint="eastAsia" w:ascii="方正仿宋简体" w:hAnsi="方正仿宋简体" w:eastAsia="方正仿宋简体"/>
          <w:b/>
          <w:bCs/>
          <w:sz w:val="32"/>
        </w:rPr>
        <w:t>级或</w:t>
      </w:r>
      <w:r>
        <w:rPr>
          <w:rFonts w:ascii="Times New Roman" w:hAnsi="Times New Roman" w:eastAsia="方正仿宋简体" w:cs="Times New Roman"/>
          <w:b/>
          <w:bCs/>
          <w:sz w:val="32"/>
        </w:rPr>
        <w:t>D</w:t>
      </w:r>
      <w:r>
        <w:rPr>
          <w:rFonts w:hint="eastAsia" w:ascii="Times New Roman" w:hAnsi="Times New Roman" w:eastAsia="方正仿宋简体" w:cs="Times New Roman"/>
          <w:b/>
          <w:bCs/>
          <w:sz w:val="32"/>
        </w:rPr>
        <w:t>－</w:t>
      </w:r>
      <w:r>
        <w:rPr>
          <w:rFonts w:hint="eastAsia" w:ascii="方正仿宋简体" w:hAnsi="方正仿宋简体" w:eastAsia="方正仿宋简体"/>
          <w:b/>
          <w:bCs/>
          <w:sz w:val="32"/>
        </w:rPr>
        <w:t>级。</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第二十二条　</w:t>
      </w:r>
      <w:r>
        <w:rPr>
          <w:rFonts w:hint="eastAsia" w:ascii="方正仿宋简体" w:hAnsi="方正仿宋简体" w:eastAsia="方正仿宋简体"/>
          <w:b/>
          <w:bCs/>
          <w:sz w:val="32"/>
        </w:rPr>
        <w:t>市场主体同一违法违规行为涉及多个记分标准的，实行累加记分；但由同一行政机关对市场主体作出的同一行政行为，涉及多个记分标准的，按最高记分标准记分。</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第二十三条　</w:t>
      </w:r>
      <w:r>
        <w:rPr>
          <w:rFonts w:hint="eastAsia" w:ascii="方正仿宋简体" w:hAnsi="方正仿宋简体" w:eastAsia="方正仿宋简体"/>
          <w:b/>
          <w:bCs/>
          <w:sz w:val="32"/>
        </w:rPr>
        <w:t>市场主体的守信信息评价有效期：信息属国家级表彰奖励的，有效期</w:t>
      </w:r>
      <w:r>
        <w:rPr>
          <w:rFonts w:hint="eastAsia" w:ascii="Times New Roman" w:hAnsi="Times New Roman" w:eastAsia="方正仿宋简体" w:cs="Times New Roman"/>
          <w:b/>
          <w:bCs/>
          <w:sz w:val="32"/>
        </w:rPr>
        <w:t>为</w:t>
      </w:r>
      <w:r>
        <w:rPr>
          <w:rFonts w:ascii="Times New Roman" w:hAnsi="Times New Roman" w:eastAsia="方正仿宋简体" w:cs="Times New Roman"/>
          <w:b/>
          <w:bCs/>
          <w:sz w:val="32"/>
        </w:rPr>
        <w:t>5</w:t>
      </w:r>
      <w:r>
        <w:rPr>
          <w:rFonts w:hint="eastAsia" w:ascii="方正仿宋简体" w:hAnsi="方正仿宋简体" w:eastAsia="方正仿宋简体"/>
          <w:b/>
          <w:bCs/>
          <w:sz w:val="32"/>
        </w:rPr>
        <w:t>年；信息属省部级表彰奖励的，有效期</w:t>
      </w:r>
      <w:r>
        <w:rPr>
          <w:rFonts w:hint="eastAsia" w:ascii="Times New Roman" w:hAnsi="Times New Roman" w:eastAsia="方正仿宋简体" w:cs="Times New Roman"/>
          <w:b/>
          <w:bCs/>
          <w:sz w:val="32"/>
        </w:rPr>
        <w:t>为</w:t>
      </w:r>
      <w:r>
        <w:rPr>
          <w:rFonts w:ascii="Times New Roman" w:hAnsi="Times New Roman" w:eastAsia="方正仿宋简体" w:cs="Times New Roman"/>
          <w:b/>
          <w:bCs/>
          <w:sz w:val="32"/>
        </w:rPr>
        <w:t>3</w:t>
      </w:r>
      <w:r>
        <w:rPr>
          <w:rFonts w:hint="eastAsia" w:ascii="方正仿宋简体" w:hAnsi="方正仿宋简体" w:eastAsia="方正仿宋简体"/>
          <w:b/>
          <w:bCs/>
          <w:sz w:val="32"/>
        </w:rPr>
        <w:t>年；信息属济宁市级及省部级部门表彰奖励的，有效期</w:t>
      </w:r>
      <w:r>
        <w:rPr>
          <w:rFonts w:hint="eastAsia" w:ascii="Times New Roman" w:hAnsi="Times New Roman" w:eastAsia="方正仿宋简体" w:cs="Times New Roman"/>
          <w:b/>
          <w:bCs/>
          <w:sz w:val="32"/>
        </w:rPr>
        <w:t>为</w:t>
      </w:r>
      <w:r>
        <w:rPr>
          <w:rFonts w:ascii="Times New Roman" w:hAnsi="Times New Roman" w:eastAsia="方正仿宋简体" w:cs="Times New Roman"/>
          <w:b/>
          <w:bCs/>
          <w:sz w:val="32"/>
        </w:rPr>
        <w:t>2</w:t>
      </w:r>
      <w:r>
        <w:rPr>
          <w:rFonts w:hint="eastAsia" w:ascii="方正仿宋简体" w:hAnsi="方正仿宋简体" w:eastAsia="方正仿宋简体"/>
          <w:b/>
          <w:bCs/>
          <w:sz w:val="32"/>
        </w:rPr>
        <w:t>年；信息属县市级及部门、镇街表彰奖励，有效期</w:t>
      </w:r>
      <w:r>
        <w:rPr>
          <w:rFonts w:hint="eastAsia" w:ascii="Times New Roman" w:hAnsi="Times New Roman" w:eastAsia="方正仿宋简体" w:cs="Times New Roman"/>
          <w:b/>
          <w:bCs/>
          <w:sz w:val="32"/>
        </w:rPr>
        <w:t>为</w:t>
      </w:r>
      <w:r>
        <w:rPr>
          <w:rFonts w:ascii="Times New Roman" w:hAnsi="Times New Roman" w:eastAsia="方正仿宋简体" w:cs="Times New Roman"/>
          <w:b/>
          <w:bCs/>
          <w:sz w:val="32"/>
        </w:rPr>
        <w:t>1</w:t>
      </w:r>
      <w:r>
        <w:rPr>
          <w:rFonts w:hint="eastAsia" w:ascii="方正仿宋简体" w:hAnsi="方正仿宋简体" w:eastAsia="方正仿宋简体"/>
          <w:b/>
          <w:bCs/>
          <w:sz w:val="32"/>
        </w:rPr>
        <w:t>年；其他守信信息有效期均</w:t>
      </w:r>
      <w:r>
        <w:rPr>
          <w:rFonts w:hint="eastAsia" w:ascii="Times New Roman" w:hAnsi="Times New Roman" w:eastAsia="方正仿宋简体" w:cs="Times New Roman"/>
          <w:b/>
          <w:bCs/>
          <w:sz w:val="32"/>
        </w:rPr>
        <w:t>为</w:t>
      </w:r>
      <w:r>
        <w:rPr>
          <w:rFonts w:ascii="Times New Roman" w:hAnsi="Times New Roman" w:eastAsia="方正仿宋简体" w:cs="Times New Roman"/>
          <w:b/>
          <w:bCs/>
          <w:sz w:val="32"/>
        </w:rPr>
        <w:t>1</w:t>
      </w:r>
      <w:r>
        <w:rPr>
          <w:rFonts w:hint="eastAsia" w:ascii="方正仿宋简体" w:hAnsi="方正仿宋简体" w:eastAsia="方正仿宋简体"/>
          <w:b/>
          <w:bCs/>
          <w:sz w:val="32"/>
        </w:rPr>
        <w:t>年。</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市场主体的失信信息评价有效期：每条减分</w:t>
      </w:r>
      <w:r>
        <w:rPr>
          <w:rFonts w:hint="eastAsia" w:ascii="Times New Roman" w:hAnsi="Times New Roman" w:eastAsia="方正仿宋简体" w:cs="Times New Roman"/>
          <w:b/>
          <w:bCs/>
          <w:sz w:val="32"/>
        </w:rPr>
        <w:t>在</w:t>
      </w:r>
      <w:r>
        <w:rPr>
          <w:rFonts w:ascii="Times New Roman" w:hAnsi="Times New Roman" w:eastAsia="方正仿宋简体" w:cs="Times New Roman"/>
          <w:b/>
          <w:bCs/>
          <w:sz w:val="32"/>
        </w:rPr>
        <w:t>40</w:t>
      </w:r>
      <w:r>
        <w:rPr>
          <w:rFonts w:hint="eastAsia" w:ascii="方正仿宋简体" w:hAnsi="方正仿宋简体" w:eastAsia="方正仿宋简体"/>
          <w:b/>
          <w:bCs/>
          <w:sz w:val="32"/>
        </w:rPr>
        <w:t>分及以下的，有效期</w:t>
      </w:r>
      <w:r>
        <w:rPr>
          <w:rFonts w:hint="eastAsia" w:ascii="Times New Roman" w:hAnsi="Times New Roman" w:eastAsia="方正仿宋简体" w:cs="Times New Roman"/>
          <w:b/>
          <w:bCs/>
          <w:sz w:val="32"/>
        </w:rPr>
        <w:t>为</w:t>
      </w:r>
      <w:r>
        <w:rPr>
          <w:rFonts w:ascii="Times New Roman" w:hAnsi="Times New Roman" w:eastAsia="方正仿宋简体" w:cs="Times New Roman"/>
          <w:b/>
          <w:bCs/>
          <w:sz w:val="32"/>
        </w:rPr>
        <w:t>1</w:t>
      </w:r>
      <w:r>
        <w:rPr>
          <w:rFonts w:hint="eastAsia" w:ascii="方正仿宋简体" w:hAnsi="方正仿宋简体" w:eastAsia="方正仿宋简体"/>
          <w:b/>
          <w:bCs/>
          <w:sz w:val="32"/>
        </w:rPr>
        <w:t>年；减分</w:t>
      </w:r>
      <w:r>
        <w:rPr>
          <w:rFonts w:hint="eastAsia" w:ascii="Times New Roman" w:hAnsi="Times New Roman" w:eastAsia="方正仿宋简体" w:cs="Times New Roman"/>
          <w:b/>
          <w:bCs/>
          <w:sz w:val="32"/>
        </w:rPr>
        <w:t>在</w:t>
      </w:r>
      <w:r>
        <w:rPr>
          <w:rFonts w:ascii="Times New Roman" w:hAnsi="Times New Roman" w:eastAsia="方正仿宋简体" w:cs="Times New Roman"/>
          <w:b/>
          <w:bCs/>
          <w:sz w:val="32"/>
        </w:rPr>
        <w:t>41</w:t>
      </w:r>
      <w:r>
        <w:rPr>
          <w:rFonts w:hint="eastAsia" w:ascii="方正仿宋简体" w:hAnsi="方正仿宋简体" w:eastAsia="方正仿宋简体"/>
          <w:b/>
          <w:bCs/>
          <w:sz w:val="32"/>
        </w:rPr>
        <w:t>分</w:t>
      </w:r>
      <w:r>
        <w:rPr>
          <w:rFonts w:hint="eastAsia" w:ascii="Times New Roman" w:hAnsi="Times New Roman" w:eastAsia="方正仿宋简体" w:cs="Times New Roman"/>
          <w:b/>
          <w:bCs/>
          <w:sz w:val="32"/>
        </w:rPr>
        <w:t>至</w:t>
      </w:r>
      <w:r>
        <w:rPr>
          <w:rFonts w:ascii="Times New Roman" w:hAnsi="Times New Roman" w:eastAsia="方正仿宋简体" w:cs="Times New Roman"/>
          <w:b/>
          <w:bCs/>
          <w:sz w:val="32"/>
        </w:rPr>
        <w:t>199</w:t>
      </w:r>
      <w:r>
        <w:rPr>
          <w:rFonts w:hint="eastAsia" w:ascii="方正仿宋简体" w:hAnsi="方正仿宋简体" w:eastAsia="方正仿宋简体"/>
          <w:b/>
          <w:bCs/>
          <w:sz w:val="32"/>
        </w:rPr>
        <w:t>分的，有效期</w:t>
      </w:r>
      <w:r>
        <w:rPr>
          <w:rFonts w:hint="eastAsia" w:ascii="Times New Roman" w:hAnsi="Times New Roman" w:eastAsia="方正仿宋简体" w:cs="Times New Roman"/>
          <w:b/>
          <w:bCs/>
          <w:sz w:val="32"/>
        </w:rPr>
        <w:t>为</w:t>
      </w:r>
      <w:r>
        <w:rPr>
          <w:rFonts w:ascii="Times New Roman" w:hAnsi="Times New Roman" w:eastAsia="方正仿宋简体" w:cs="Times New Roman"/>
          <w:b/>
          <w:bCs/>
          <w:sz w:val="32"/>
        </w:rPr>
        <w:t>2</w:t>
      </w:r>
      <w:r>
        <w:rPr>
          <w:rFonts w:hint="eastAsia" w:ascii="方正仿宋简体" w:hAnsi="方正仿宋简体" w:eastAsia="方正仿宋简体"/>
          <w:b/>
          <w:bCs/>
          <w:sz w:val="32"/>
        </w:rPr>
        <w:t>年；减分</w:t>
      </w:r>
      <w:r>
        <w:rPr>
          <w:rFonts w:hint="eastAsia" w:ascii="Times New Roman" w:hAnsi="Times New Roman" w:eastAsia="方正仿宋简体" w:cs="Times New Roman"/>
          <w:b/>
          <w:bCs/>
          <w:sz w:val="32"/>
        </w:rPr>
        <w:t>在</w:t>
      </w:r>
      <w:r>
        <w:rPr>
          <w:rFonts w:ascii="Times New Roman" w:hAnsi="Times New Roman" w:eastAsia="方正仿宋简体" w:cs="Times New Roman"/>
          <w:b/>
          <w:bCs/>
          <w:sz w:val="32"/>
        </w:rPr>
        <w:t>200</w:t>
      </w:r>
      <w:r>
        <w:rPr>
          <w:rFonts w:hint="eastAsia" w:ascii="方正仿宋简体" w:hAnsi="方正仿宋简体" w:eastAsia="方正仿宋简体"/>
          <w:b/>
          <w:bCs/>
          <w:sz w:val="32"/>
        </w:rPr>
        <w:t>分及以上的，有效期</w:t>
      </w:r>
      <w:r>
        <w:rPr>
          <w:rFonts w:hint="eastAsia" w:ascii="Times New Roman" w:hAnsi="Times New Roman" w:eastAsia="方正仿宋简体" w:cs="Times New Roman"/>
          <w:b/>
          <w:bCs/>
          <w:sz w:val="32"/>
        </w:rPr>
        <w:t>为</w:t>
      </w:r>
      <w:r>
        <w:rPr>
          <w:rFonts w:ascii="Times New Roman" w:hAnsi="Times New Roman" w:eastAsia="方正仿宋简体" w:cs="Times New Roman"/>
          <w:b/>
          <w:bCs/>
          <w:sz w:val="32"/>
        </w:rPr>
        <w:t>3</w:t>
      </w:r>
      <w:r>
        <w:rPr>
          <w:rFonts w:hint="eastAsia" w:ascii="方正仿宋简体" w:hAnsi="方正仿宋简体" w:eastAsia="方正仿宋简体"/>
          <w:b/>
          <w:bCs/>
          <w:sz w:val="32"/>
        </w:rPr>
        <w:t>年。</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其他失信信息的评价有效期</w:t>
      </w:r>
      <w:r>
        <w:rPr>
          <w:rFonts w:hint="eastAsia" w:ascii="Times New Roman" w:hAnsi="Times New Roman" w:eastAsia="方正仿宋简体" w:cs="Times New Roman"/>
          <w:b/>
          <w:bCs/>
          <w:sz w:val="32"/>
        </w:rPr>
        <w:t>为</w:t>
      </w:r>
      <w:r>
        <w:rPr>
          <w:rFonts w:ascii="Times New Roman" w:hAnsi="Times New Roman" w:eastAsia="方正仿宋简体" w:cs="Times New Roman"/>
          <w:b/>
          <w:bCs/>
          <w:sz w:val="32"/>
        </w:rPr>
        <w:t>1</w:t>
      </w:r>
      <w:r>
        <w:rPr>
          <w:rFonts w:hint="eastAsia" w:ascii="方正仿宋简体" w:hAnsi="方正仿宋简体" w:eastAsia="方正仿宋简体"/>
          <w:b/>
          <w:bCs/>
          <w:sz w:val="32"/>
        </w:rPr>
        <w:t>年。</w:t>
      </w:r>
    </w:p>
    <w:p>
      <w:pPr>
        <w:pStyle w:val="4"/>
        <w:keepNext w:val="0"/>
        <w:keepLines w:val="0"/>
        <w:pageBreakBefore w:val="0"/>
        <w:widowControl w:val="0"/>
        <w:tabs>
          <w:tab w:val="left" w:pos="2038"/>
        </w:tabs>
        <w:kinsoku/>
        <w:wordWrap/>
        <w:overflowPunct w:val="0"/>
        <w:topLinePunct/>
        <w:autoSpaceDE/>
        <w:autoSpaceDN/>
        <w:bidi w:val="0"/>
        <w:adjustRightInd w:val="0"/>
        <w:snapToGrid/>
        <w:spacing w:beforeLines="50" w:afterLines="50" w:line="580" w:lineRule="exact"/>
        <w:ind w:left="0"/>
        <w:jc w:val="center"/>
        <w:textAlignment w:val="baseline"/>
        <w:rPr>
          <w:rFonts w:hint="eastAsia" w:ascii="方正黑体简体" w:hAnsi="Times New Roman" w:eastAsia="方正黑体简体" w:cs="黑体"/>
          <w:b/>
          <w:lang w:val="zh-CN" w:bidi="zh-CN"/>
        </w:rPr>
      </w:pPr>
      <w:r>
        <w:rPr>
          <w:rFonts w:hint="eastAsia" w:ascii="方正黑体简体" w:hAnsi="Times New Roman" w:eastAsia="方正黑体简体" w:cs="黑体"/>
          <w:b/>
          <w:lang w:val="zh-CN" w:bidi="zh-CN"/>
        </w:rPr>
        <w:t>第四章  评价结果应用</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第二十四条　</w:t>
      </w:r>
      <w:r>
        <w:rPr>
          <w:rFonts w:hint="eastAsia" w:ascii="方正仿宋简体" w:hAnsi="方正仿宋简体" w:eastAsia="方正仿宋简体"/>
          <w:b/>
          <w:bCs/>
          <w:sz w:val="32"/>
        </w:rPr>
        <w:t>各级各部门要及时汇聚整合信用信息数据，归集至市社会信用中心，并将信用综合评价结果运用到行政管理和社会治理工作中，作为实施差异化监管的依据。市社会信用中心与各行业监管部门要加强公共信用综合评价结果、行业信用评价结果共享共用。</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第二十五条　</w:t>
      </w:r>
      <w:r>
        <w:rPr>
          <w:rFonts w:hint="eastAsia" w:ascii="Times New Roman" w:hAnsi="Times New Roman" w:eastAsia="方正仿宋简体" w:cs="Times New Roman"/>
          <w:b/>
          <w:bCs/>
          <w:sz w:val="32"/>
        </w:rPr>
        <w:t>对</w:t>
      </w:r>
      <w:r>
        <w:rPr>
          <w:rFonts w:ascii="Times New Roman" w:hAnsi="Times New Roman" w:eastAsia="方正仿宋简体" w:cs="Times New Roman"/>
          <w:b/>
          <w:bCs/>
          <w:sz w:val="32"/>
        </w:rPr>
        <w:t>A</w:t>
      </w:r>
      <w:r>
        <w:rPr>
          <w:rFonts w:hint="eastAsia" w:ascii="方正仿宋简体" w:hAnsi="方正仿宋简体" w:eastAsia="方正仿宋简体"/>
          <w:b/>
          <w:bCs/>
          <w:sz w:val="32"/>
        </w:rPr>
        <w:t>级及以上诚信守法类市场主体，可以在法定权限范围内采取下列激励措施：</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（一）在行政管理和公共服务中，给予绿色通道、容缺受理、程序简化等便利服务措施；</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（二）在财政性资金分配、评优评先中，同等条件下列为优先选择对象；</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（三）在公共资源交易中，给予提升信用等次等措施；</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（四）在日常监督管理中，合理降低抽查比例和频次；</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（五）在信用门户网站或者相关媒体上进行宣传推介；</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（六）国家、省、济宁市和曲阜市规定的其他激励措施。</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第二十六条　</w:t>
      </w:r>
      <w:r>
        <w:rPr>
          <w:rFonts w:hint="eastAsia" w:ascii="方正仿宋简体" w:hAnsi="方正仿宋简体" w:eastAsia="方正仿宋简体"/>
          <w:b/>
          <w:bCs/>
          <w:sz w:val="32"/>
        </w:rPr>
        <w:t>对</w:t>
      </w:r>
      <w:r>
        <w:rPr>
          <w:rFonts w:ascii="Times New Roman" w:hAnsi="Times New Roman" w:eastAsia="方正仿宋简体" w:cs="Times New Roman"/>
          <w:b/>
          <w:bCs/>
          <w:sz w:val="32"/>
        </w:rPr>
        <w:t>B</w:t>
      </w:r>
      <w:r>
        <w:rPr>
          <w:rFonts w:hint="eastAsia" w:ascii="方正仿宋简体" w:hAnsi="方正仿宋简体" w:eastAsia="方正仿宋简体"/>
          <w:b/>
          <w:bCs/>
          <w:sz w:val="32"/>
        </w:rPr>
        <w:t>级轻微失信类市场主体，采取包容审慎监管方式，对非主观故意、没有造成危害后果的首次轻微违法行为，指导市场主体自觉改正。</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第二十七条　</w:t>
      </w:r>
      <w:r>
        <w:rPr>
          <w:rFonts w:hint="eastAsia" w:ascii="方正仿宋简体" w:hAnsi="方正仿宋简体" w:eastAsia="方正仿宋简体"/>
          <w:b/>
          <w:bCs/>
          <w:sz w:val="32"/>
        </w:rPr>
        <w:t>对</w:t>
      </w:r>
      <w:r>
        <w:rPr>
          <w:rFonts w:ascii="Times New Roman" w:hAnsi="Times New Roman" w:eastAsia="方正仿宋简体" w:cs="Times New Roman"/>
          <w:b/>
          <w:bCs/>
          <w:sz w:val="32"/>
        </w:rPr>
        <w:t>C</w:t>
      </w:r>
      <w:r>
        <w:rPr>
          <w:rFonts w:hint="eastAsia" w:ascii="方正仿宋简体" w:hAnsi="方正仿宋简体" w:eastAsia="方正仿宋简体"/>
          <w:b/>
          <w:bCs/>
          <w:sz w:val="32"/>
        </w:rPr>
        <w:t>级、</w:t>
      </w:r>
      <w:r>
        <w:rPr>
          <w:rFonts w:ascii="Times New Roman" w:hAnsi="Times New Roman" w:eastAsia="方正仿宋简体" w:cs="Times New Roman"/>
          <w:b/>
          <w:bCs/>
          <w:sz w:val="32"/>
        </w:rPr>
        <w:t>C</w:t>
      </w:r>
      <w:r>
        <w:rPr>
          <w:rFonts w:hint="eastAsia" w:ascii="Times New Roman" w:hAnsi="Times New Roman" w:eastAsia="方正仿宋简体" w:cs="Times New Roman"/>
          <w:b/>
          <w:bCs/>
          <w:sz w:val="32"/>
        </w:rPr>
        <w:t>－</w:t>
      </w:r>
      <w:r>
        <w:rPr>
          <w:rFonts w:hint="eastAsia" w:ascii="方正仿宋简体" w:hAnsi="方正仿宋简体" w:eastAsia="方正仿宋简体"/>
          <w:b/>
          <w:bCs/>
          <w:sz w:val="32"/>
        </w:rPr>
        <w:t>级一般失信类市场主体，在法定权限范围内可以对失信主体采取下列惩戒措施：</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（一）在行政管理和公共服务中，限制享受相关便利措施；</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（二）在财政性资金分配、评优评先中，给予相应限制；</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（三）在公共资源交易中，给予降低信用等次等措施；</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（四）在日常监督管理中，列为重点监督管理对象，适当提高抽查比例和频次，加强现场监督检查；</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仿宋简体" w:hAnsi="方正仿宋简体" w:eastAsia="方正仿宋简体"/>
          <w:b/>
          <w:bCs/>
          <w:sz w:val="32"/>
        </w:rPr>
        <w:t>（五）法律、行政法规规定的其他惩戒措施。</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第二十八条　</w:t>
      </w:r>
      <w:r>
        <w:rPr>
          <w:rFonts w:hint="eastAsia" w:ascii="方正仿宋简体" w:hAnsi="方正仿宋简体" w:eastAsia="方正仿宋简体"/>
          <w:b/>
          <w:bCs/>
          <w:sz w:val="32"/>
        </w:rPr>
        <w:t>对</w:t>
      </w:r>
      <w:r>
        <w:rPr>
          <w:rFonts w:ascii="Times New Roman" w:hAnsi="Times New Roman" w:eastAsia="方正仿宋简体" w:cs="Times New Roman"/>
          <w:b/>
          <w:bCs/>
          <w:sz w:val="32"/>
        </w:rPr>
        <w:t>D</w:t>
      </w:r>
      <w:r>
        <w:rPr>
          <w:rFonts w:hint="eastAsia" w:ascii="方正仿宋简体" w:hAnsi="方正仿宋简体" w:eastAsia="方正仿宋简体"/>
          <w:b/>
          <w:bCs/>
          <w:sz w:val="32"/>
        </w:rPr>
        <w:t>级、</w:t>
      </w:r>
      <w:r>
        <w:rPr>
          <w:rFonts w:ascii="Times New Roman" w:hAnsi="Times New Roman" w:eastAsia="方正仿宋简体" w:cs="Times New Roman"/>
          <w:b/>
          <w:bCs/>
          <w:sz w:val="32"/>
        </w:rPr>
        <w:t>D</w:t>
      </w:r>
      <w:r>
        <w:rPr>
          <w:rFonts w:hint="eastAsia" w:ascii="Times New Roman" w:hAnsi="Times New Roman" w:eastAsia="方正仿宋简体" w:cs="Times New Roman"/>
          <w:b/>
          <w:bCs/>
          <w:sz w:val="32"/>
        </w:rPr>
        <w:t>－</w:t>
      </w:r>
      <w:r>
        <w:rPr>
          <w:rFonts w:hint="eastAsia" w:ascii="方正仿宋简体" w:hAnsi="方正仿宋简体" w:eastAsia="方正仿宋简体"/>
          <w:b/>
          <w:bCs/>
          <w:sz w:val="32"/>
        </w:rPr>
        <w:t>级严重失信类市场主体，在日常监管中列为重点监督管理对象，抽查比例不设上限，依法依规增加检查内容，加大抽查检查力度和频次。对纳入严重失信主体名单的市场主体，有关部门和单位应当依照法律、行政法规和国家有关规定采取下列惩戒措施：</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lang w:val="zh-CN"/>
        </w:rPr>
      </w:pPr>
      <w:r>
        <w:rPr>
          <w:rFonts w:hint="eastAsia" w:ascii="方正仿宋简体" w:hAnsi="方正仿宋简体" w:eastAsia="方正仿宋简体"/>
          <w:b/>
          <w:bCs/>
          <w:sz w:val="32"/>
          <w:lang w:val="zh-CN"/>
        </w:rPr>
        <w:t>（一）限制或者禁止进入相关市场和相关行业；</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lang w:val="zh-CN"/>
        </w:rPr>
      </w:pPr>
      <w:r>
        <w:rPr>
          <w:rFonts w:hint="eastAsia" w:ascii="方正仿宋简体" w:hAnsi="方正仿宋简体" w:eastAsia="方正仿宋简体"/>
          <w:b/>
          <w:bCs/>
          <w:sz w:val="32"/>
          <w:lang w:val="zh-CN"/>
        </w:rPr>
        <w:t>（二）限制相关任职资格，取消评优评先资格或者撤销相关荣誉、称号；</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lang w:val="zh-CN"/>
        </w:rPr>
      </w:pPr>
      <w:r>
        <w:rPr>
          <w:rFonts w:hint="eastAsia" w:ascii="方正仿宋简体" w:hAnsi="方正仿宋简体" w:eastAsia="方正仿宋简体"/>
          <w:b/>
          <w:bCs/>
          <w:sz w:val="32"/>
          <w:lang w:val="zh-CN"/>
        </w:rPr>
        <w:t>（三）限制开展融资、授信等金融活动；</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lang w:val="zh-CN"/>
        </w:rPr>
      </w:pPr>
      <w:r>
        <w:rPr>
          <w:rFonts w:hint="eastAsia" w:ascii="方正仿宋简体" w:hAnsi="方正仿宋简体" w:eastAsia="方正仿宋简体"/>
          <w:b/>
          <w:bCs/>
          <w:sz w:val="32"/>
          <w:lang w:val="zh-CN"/>
        </w:rPr>
        <w:t>（四）限制参与由财政资金安排的基础设施建设和公共事业特许经营活动；</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lang w:val="zh-CN"/>
        </w:rPr>
      </w:pPr>
      <w:r>
        <w:rPr>
          <w:rFonts w:hint="eastAsia" w:ascii="方正仿宋简体" w:hAnsi="方正仿宋简体" w:eastAsia="方正仿宋简体"/>
          <w:b/>
          <w:bCs/>
          <w:sz w:val="32"/>
          <w:lang w:val="zh-CN"/>
        </w:rPr>
        <w:t>（五）限制参加政府采购、政府投资项目招标投标以及国有土地招标、拍卖、挂牌等公共资源交易活动；</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lang w:val="zh-CN"/>
        </w:rPr>
      </w:pPr>
      <w:r>
        <w:rPr>
          <w:rFonts w:hint="eastAsia" w:ascii="方正仿宋简体" w:hAnsi="方正仿宋简体" w:eastAsia="方正仿宋简体"/>
          <w:b/>
          <w:bCs/>
          <w:sz w:val="32"/>
          <w:lang w:val="zh-CN"/>
        </w:rPr>
        <w:t>（六）限制乘坐飞机、高等级列车和席次等；</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lang w:val="zh-CN"/>
        </w:rPr>
      </w:pPr>
      <w:r>
        <w:rPr>
          <w:rFonts w:hint="eastAsia" w:ascii="方正仿宋简体" w:hAnsi="方正仿宋简体" w:eastAsia="方正仿宋简体"/>
          <w:b/>
          <w:bCs/>
          <w:sz w:val="32"/>
          <w:lang w:val="zh-CN"/>
        </w:rPr>
        <w:t>（七）法律、行政法规规定的其他惩戒措施。</w:t>
      </w:r>
    </w:p>
    <w:p>
      <w:pPr>
        <w:pStyle w:val="4"/>
        <w:keepNext w:val="0"/>
        <w:keepLines w:val="0"/>
        <w:pageBreakBefore w:val="0"/>
        <w:widowControl w:val="0"/>
        <w:tabs>
          <w:tab w:val="left" w:pos="2038"/>
        </w:tabs>
        <w:kinsoku/>
        <w:wordWrap/>
        <w:overflowPunct w:val="0"/>
        <w:topLinePunct/>
        <w:autoSpaceDE/>
        <w:autoSpaceDN/>
        <w:bidi w:val="0"/>
        <w:adjustRightInd w:val="0"/>
        <w:snapToGrid/>
        <w:spacing w:beforeLines="50" w:afterLines="50" w:line="580" w:lineRule="exact"/>
        <w:ind w:left="0"/>
        <w:jc w:val="center"/>
        <w:textAlignment w:val="baseline"/>
        <w:rPr>
          <w:rFonts w:hint="eastAsia" w:ascii="方正黑体简体" w:hAnsi="Times New Roman" w:eastAsia="方正黑体简体" w:cs="黑体"/>
          <w:b/>
          <w:lang w:val="zh-CN" w:bidi="zh-CN"/>
        </w:rPr>
      </w:pPr>
      <w:r>
        <w:rPr>
          <w:rFonts w:hint="eastAsia" w:ascii="方正黑体简体" w:hAnsi="Times New Roman" w:eastAsia="方正黑体简体" w:cs="黑体"/>
          <w:b/>
          <w:lang w:val="zh-CN" w:bidi="zh-CN"/>
        </w:rPr>
        <w:t>第五章  市场主体权益保护</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第二十九条　</w:t>
      </w:r>
      <w:r>
        <w:rPr>
          <w:rFonts w:hint="eastAsia" w:ascii="方正仿宋简体" w:hAnsi="方正仿宋简体" w:eastAsia="方正仿宋简体"/>
          <w:b/>
          <w:bCs/>
          <w:sz w:val="32"/>
        </w:rPr>
        <w:t>加强市场主体信用信息安全防护，建立健全安全管理、查询使用、应急处理等制度，保障信用信息安全。</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第三十条　</w:t>
      </w:r>
      <w:r>
        <w:rPr>
          <w:rFonts w:hint="eastAsia" w:ascii="方正仿宋简体" w:hAnsi="方正仿宋简体" w:eastAsia="方正仿宋简体"/>
          <w:b/>
          <w:bCs/>
          <w:sz w:val="32"/>
        </w:rPr>
        <w:t>建立责任追究机制，对虚构、篡改公共信用综合评价结果或者利用评价结果谋私等行为的单位或个人，依法追究责任，切实保护信用主体合法权益。</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第三十一条　</w:t>
      </w:r>
      <w:r>
        <w:rPr>
          <w:rFonts w:hint="eastAsia" w:ascii="方正仿宋简体" w:hAnsi="方正仿宋简体" w:eastAsia="方正仿宋简体"/>
          <w:b/>
          <w:bCs/>
          <w:sz w:val="32"/>
        </w:rPr>
        <w:t>根据公共信用信息数据清单，准确、完整地采集信用信息，加大信用信息归集共享力度，确保公共信用综合评价结果准确。因信息归集原因造成分类结果不准确，且产生不良影响的，由信息归集单位承担相应的责任。</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第三十二条　</w:t>
      </w:r>
      <w:r>
        <w:rPr>
          <w:rFonts w:hint="eastAsia" w:ascii="方正仿宋简体" w:hAnsi="方正仿宋简体" w:eastAsia="方正仿宋简体"/>
          <w:b/>
          <w:bCs/>
          <w:sz w:val="32"/>
        </w:rPr>
        <w:t>建立异议处理机制。市场主体对公共信用综合评价结果存在异议的，可以向市社会信用中心、行业主管部门提出异议申请，有关单位收到异议申请后，属于本单位处理范围的，应当自收到异议申请之日</w:t>
      </w:r>
      <w:r>
        <w:rPr>
          <w:rFonts w:hint="eastAsia" w:ascii="Times New Roman" w:hAnsi="Times New Roman" w:eastAsia="方正仿宋简体" w:cs="Times New Roman"/>
          <w:b/>
          <w:bCs/>
          <w:sz w:val="32"/>
        </w:rPr>
        <w:t>起</w:t>
      </w:r>
      <w:r>
        <w:rPr>
          <w:rFonts w:ascii="Times New Roman" w:hAnsi="Times New Roman" w:eastAsia="方正仿宋简体" w:cs="Times New Roman"/>
          <w:b/>
          <w:bCs/>
          <w:sz w:val="32"/>
        </w:rPr>
        <w:t>3</w:t>
      </w:r>
      <w:r>
        <w:rPr>
          <w:rFonts w:hint="eastAsia" w:ascii="方正仿宋简体" w:hAnsi="方正仿宋简体" w:eastAsia="方正仿宋简体"/>
          <w:b/>
          <w:bCs/>
          <w:sz w:val="32"/>
        </w:rPr>
        <w:t>个工作日内进行审核处理，将处理结果反馈给异议申请人；需要其他单位协助核查信息的，应当自收到异议申请之日</w:t>
      </w:r>
      <w:r>
        <w:rPr>
          <w:rFonts w:hint="eastAsia" w:ascii="Times New Roman" w:hAnsi="Times New Roman" w:eastAsia="方正仿宋简体" w:cs="Times New Roman"/>
          <w:b/>
          <w:bCs/>
          <w:sz w:val="32"/>
        </w:rPr>
        <w:t>起</w:t>
      </w:r>
      <w:r>
        <w:rPr>
          <w:rFonts w:ascii="Times New Roman" w:hAnsi="Times New Roman" w:eastAsia="方正仿宋简体" w:cs="Times New Roman"/>
          <w:b/>
          <w:bCs/>
          <w:sz w:val="32"/>
        </w:rPr>
        <w:t>7</w:t>
      </w:r>
      <w:r>
        <w:rPr>
          <w:rFonts w:hint="eastAsia" w:ascii="方正仿宋简体" w:hAnsi="方正仿宋简体" w:eastAsia="方正仿宋简体"/>
          <w:b/>
          <w:bCs/>
          <w:sz w:val="32"/>
        </w:rPr>
        <w:t>个工作日内进行核查处理，将处理结果反馈给异议申请人。经核查确实有误的，应当</w:t>
      </w:r>
      <w:r>
        <w:rPr>
          <w:rFonts w:hint="eastAsia" w:ascii="Times New Roman" w:hAnsi="Times New Roman" w:eastAsia="方正仿宋简体" w:cs="Times New Roman"/>
          <w:b/>
          <w:bCs/>
          <w:sz w:val="32"/>
        </w:rPr>
        <w:t>在</w:t>
      </w:r>
      <w:r>
        <w:rPr>
          <w:rFonts w:ascii="Times New Roman" w:hAnsi="Times New Roman" w:eastAsia="方正仿宋简体" w:cs="Times New Roman"/>
          <w:b/>
          <w:bCs/>
          <w:sz w:val="32"/>
        </w:rPr>
        <w:t>2</w:t>
      </w:r>
      <w:r>
        <w:rPr>
          <w:rFonts w:hint="eastAsia" w:ascii="方正仿宋简体" w:hAnsi="方正仿宋简体" w:eastAsia="方正仿宋简体"/>
          <w:b/>
          <w:bCs/>
          <w:sz w:val="32"/>
        </w:rPr>
        <w:t>个工作日内予以更正或者删除。对由于数据更新不及时、不齐全等原因造成评价结果不准确的，市社会信用中心、行业主管部门应及时补充完善数据，重新进行评价。行业主管部门对异议处理另有规定的，从其规定。</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第三十三条　</w:t>
      </w:r>
      <w:r>
        <w:rPr>
          <w:rFonts w:hint="eastAsia" w:ascii="方正仿宋简体" w:hAnsi="方正仿宋简体" w:eastAsia="方正仿宋简体"/>
          <w:b/>
          <w:bCs/>
          <w:sz w:val="32"/>
        </w:rPr>
        <w:t>行政行为被撤销或被确认违法的，该信用信息不作为公共信用综合评价的依据。行政行为发生变更或被部分撤销的，以变更或部分撤销后的信用信息作为公共信用综合评价的依据。</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第三十四条　</w:t>
      </w:r>
      <w:r>
        <w:rPr>
          <w:rFonts w:hint="eastAsia" w:ascii="方正仿宋简体" w:hAnsi="方正仿宋简体" w:eastAsia="方正仿宋简体"/>
          <w:b/>
          <w:bCs/>
          <w:sz w:val="32"/>
        </w:rPr>
        <w:t>完善信用修复制度。市场主体在纠正失信行为、消除不良影响后，按相关规定进行信用修复。信用修复结果及时共享至市公共信用信息平台</w:t>
      </w:r>
      <w:r>
        <w:rPr>
          <w:rFonts w:hint="eastAsia" w:ascii="方正仿宋简体" w:hAnsi="方正仿宋简体" w:eastAsia="方正仿宋简体"/>
          <w:b/>
          <w:bCs/>
          <w:sz w:val="32"/>
          <w:lang w:val="en-US" w:eastAsia="zh-CN"/>
        </w:rPr>
        <w:t>后</w:t>
      </w:r>
      <w:r>
        <w:rPr>
          <w:rFonts w:hint="eastAsia" w:ascii="方正仿宋简体" w:hAnsi="方正仿宋简体" w:eastAsia="方正仿宋简体"/>
          <w:b/>
          <w:bCs/>
          <w:sz w:val="32"/>
        </w:rPr>
        <w:t>，</w:t>
      </w:r>
      <w:r>
        <w:rPr>
          <w:rFonts w:hint="eastAsia" w:ascii="方正仿宋简体" w:hAnsi="方正仿宋简体" w:eastAsia="方正仿宋简体"/>
          <w:b/>
          <w:bCs/>
          <w:sz w:val="32"/>
          <w:lang w:val="en-US" w:eastAsia="zh-CN"/>
        </w:rPr>
        <w:t>市公共信用信息平台</w:t>
      </w:r>
      <w:r>
        <w:rPr>
          <w:rFonts w:hint="eastAsia" w:ascii="方正仿宋简体" w:hAnsi="方正仿宋简体" w:eastAsia="方正仿宋简体"/>
          <w:b/>
          <w:bCs/>
          <w:sz w:val="32"/>
        </w:rPr>
        <w:t>依法依规撤销失信信息。</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第三十五条　</w:t>
      </w:r>
      <w:r>
        <w:rPr>
          <w:rFonts w:hint="eastAsia" w:ascii="方正仿宋简体" w:hAnsi="方正仿宋简体" w:eastAsia="方正仿宋简体"/>
          <w:b/>
          <w:bCs/>
          <w:sz w:val="32"/>
        </w:rPr>
        <w:t>市社会信用中心和行业主管部门评定的市场主体信用等级、风险等级、监管分类等结果，可以公示的，应当通过公示系统公示。</w:t>
      </w:r>
    </w:p>
    <w:p>
      <w:pPr>
        <w:pStyle w:val="4"/>
        <w:keepNext w:val="0"/>
        <w:keepLines w:val="0"/>
        <w:pageBreakBefore w:val="0"/>
        <w:widowControl w:val="0"/>
        <w:tabs>
          <w:tab w:val="left" w:pos="2038"/>
        </w:tabs>
        <w:kinsoku/>
        <w:wordWrap/>
        <w:overflowPunct w:val="0"/>
        <w:topLinePunct/>
        <w:autoSpaceDE/>
        <w:autoSpaceDN/>
        <w:bidi w:val="0"/>
        <w:adjustRightInd w:val="0"/>
        <w:snapToGrid/>
        <w:spacing w:beforeLines="50" w:afterLines="50" w:line="580" w:lineRule="exact"/>
        <w:ind w:left="0"/>
        <w:jc w:val="center"/>
        <w:textAlignment w:val="baseline"/>
        <w:rPr>
          <w:rFonts w:hint="eastAsia" w:ascii="方正黑体简体" w:hAnsi="Times New Roman" w:eastAsia="方正黑体简体" w:cs="黑体"/>
          <w:b/>
          <w:lang w:val="zh-CN" w:bidi="zh-CN"/>
        </w:rPr>
      </w:pPr>
      <w:r>
        <w:rPr>
          <w:rFonts w:hint="eastAsia" w:ascii="方正黑体简体" w:hAnsi="Times New Roman" w:eastAsia="方正黑体简体" w:cs="黑体"/>
          <w:b/>
          <w:lang w:val="zh-CN" w:bidi="zh-CN"/>
        </w:rPr>
        <w:t>第六章  组织保障</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第三十六条　</w:t>
      </w:r>
      <w:r>
        <w:rPr>
          <w:rFonts w:hint="eastAsia" w:ascii="方正仿宋简体" w:hAnsi="方正仿宋简体" w:eastAsia="方正仿宋简体"/>
          <w:b/>
          <w:bCs/>
          <w:sz w:val="32"/>
        </w:rPr>
        <w:t>各级各部门要认真贯彻落实国家、省、济宁市和曲阜市的工作部署，高度重视公共信用综合评价工作，强化制度设计，细化责任分工和具体措施，推动市场主体公共信用综合评价工作顺利实施。</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第三十七条　</w:t>
      </w:r>
      <w:r>
        <w:rPr>
          <w:rFonts w:hint="eastAsia" w:ascii="方正仿宋简体" w:hAnsi="方正仿宋简体" w:eastAsia="方正仿宋简体"/>
          <w:b/>
          <w:bCs/>
          <w:sz w:val="32"/>
        </w:rPr>
        <w:t>建立部门间工作协商机制和联络员制度，市社会信用中心会同有关部门负责加强组织协调，及时调度公共信用综合评价工作进展情况，发现问题及时协调解决。</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第三十八条　</w:t>
      </w:r>
      <w:r>
        <w:rPr>
          <w:rFonts w:hint="eastAsia" w:ascii="方正仿宋简体" w:hAnsi="方正仿宋简体" w:eastAsia="方正仿宋简体"/>
          <w:b/>
          <w:bCs/>
          <w:sz w:val="32"/>
        </w:rPr>
        <w:t>各级各部门要加大信用信息归集共享力度，准确、完整记录市场主体在经济运行过程中产生的信用信息，确保综合评价科学合理。</w:t>
      </w:r>
    </w:p>
    <w:p>
      <w:pPr>
        <w:pStyle w:val="4"/>
        <w:keepNext w:val="0"/>
        <w:keepLines w:val="0"/>
        <w:pageBreakBefore w:val="0"/>
        <w:widowControl w:val="0"/>
        <w:tabs>
          <w:tab w:val="left" w:pos="2038"/>
        </w:tabs>
        <w:kinsoku/>
        <w:wordWrap/>
        <w:overflowPunct w:val="0"/>
        <w:topLinePunct/>
        <w:autoSpaceDE/>
        <w:autoSpaceDN/>
        <w:bidi w:val="0"/>
        <w:adjustRightInd w:val="0"/>
        <w:snapToGrid/>
        <w:spacing w:beforeLines="50" w:afterLines="50" w:line="580" w:lineRule="exact"/>
        <w:ind w:left="0"/>
        <w:jc w:val="center"/>
        <w:textAlignment w:val="baseline"/>
        <w:rPr>
          <w:rFonts w:hint="eastAsia" w:ascii="方正黑体简体" w:hAnsi="Times New Roman" w:eastAsia="方正黑体简体" w:cs="黑体"/>
          <w:b/>
          <w:lang w:val="zh-CN" w:bidi="zh-CN"/>
        </w:rPr>
      </w:pPr>
      <w:r>
        <w:rPr>
          <w:rFonts w:hint="eastAsia" w:ascii="方正黑体简体" w:hAnsi="Times New Roman" w:eastAsia="方正黑体简体" w:cs="黑体"/>
          <w:b/>
          <w:lang w:val="zh-CN" w:bidi="zh-CN"/>
        </w:rPr>
        <w:t>第七章  附  则</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bCs/>
          <w:sz w:val="32"/>
        </w:rPr>
      </w:pPr>
      <w:r>
        <w:rPr>
          <w:rFonts w:hint="eastAsia" w:ascii="方正黑体简体" w:hAnsi="方正黑体简体" w:eastAsia="方正黑体简体" w:cs="方正黑体简体"/>
          <w:b/>
          <w:bCs/>
          <w:sz w:val="32"/>
        </w:rPr>
        <w:t>第三十九条　</w:t>
      </w:r>
      <w:r>
        <w:rPr>
          <w:rFonts w:hint="eastAsia" w:ascii="方正仿宋简体" w:hAnsi="方正仿宋简体" w:eastAsia="方正仿宋简体"/>
          <w:b/>
          <w:bCs/>
          <w:sz w:val="32"/>
        </w:rPr>
        <w:t>本办法如有与上级规定不一致的，按上级规定执行。</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rPr>
        <w:t>第四十条　</w:t>
      </w:r>
      <w:r>
        <w:rPr>
          <w:rFonts w:hint="default" w:ascii="Times New Roman" w:hAnsi="Times New Roman" w:eastAsia="方正仿宋简体" w:cs="Times New Roman"/>
          <w:b/>
          <w:bCs/>
          <w:sz w:val="32"/>
          <w:szCs w:val="32"/>
        </w:rPr>
        <w:t>本办法自</w:t>
      </w:r>
      <w:r>
        <w:rPr>
          <w:rFonts w:hint="default" w:ascii="Times New Roman" w:hAnsi="Times New Roman" w:eastAsia="方正仿宋简体" w:cs="Times New Roman"/>
          <w:b/>
          <w:bCs/>
          <w:sz w:val="32"/>
          <w:szCs w:val="32"/>
          <w:lang w:val="en-US" w:eastAsia="zh-CN"/>
        </w:rPr>
        <w:t>2023</w:t>
      </w:r>
      <w:r>
        <w:rPr>
          <w:rFonts w:hint="default"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lang w:val="en-US" w:eastAsia="zh-CN"/>
        </w:rPr>
        <w:t>7</w:t>
      </w:r>
      <w:r>
        <w:rPr>
          <w:rFonts w:hint="default" w:ascii="Times New Roman" w:hAnsi="Times New Roman" w:eastAsia="方正仿宋简体" w:cs="Times New Roman"/>
          <w:b/>
          <w:bCs/>
          <w:sz w:val="32"/>
          <w:szCs w:val="32"/>
        </w:rPr>
        <w:t>月</w:t>
      </w:r>
      <w:r>
        <w:rPr>
          <w:rFonts w:hint="default"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日起施行，有效期至</w:t>
      </w:r>
      <w:r>
        <w:rPr>
          <w:rFonts w:hint="default" w:ascii="Times New Roman" w:hAnsi="Times New Roman" w:eastAsia="方正仿宋简体" w:cs="Times New Roman"/>
          <w:b/>
          <w:bCs/>
          <w:sz w:val="32"/>
          <w:szCs w:val="32"/>
          <w:lang w:val="en-US" w:eastAsia="zh-CN"/>
        </w:rPr>
        <w:t>2025</w:t>
      </w:r>
      <w:r>
        <w:rPr>
          <w:rFonts w:hint="default"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rPr>
        <w:t>月</w:t>
      </w:r>
      <w:r>
        <w:rPr>
          <w:rFonts w:hint="default"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lang w:val="en-US" w:eastAsia="zh-CN"/>
        </w:rPr>
        <w:t>0</w:t>
      </w:r>
      <w:r>
        <w:rPr>
          <w:rFonts w:hint="default" w:ascii="Times New Roman" w:hAnsi="Times New Roman" w:eastAsia="方正仿宋简体" w:cs="Times New Roman"/>
          <w:b/>
          <w:bCs/>
          <w:sz w:val="32"/>
          <w:szCs w:val="32"/>
        </w:rPr>
        <w:t>日。</w:t>
      </w: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sz w:val="32"/>
          <w:szCs w:val="32"/>
        </w:rPr>
      </w:pPr>
    </w:p>
    <w:p>
      <w:pPr>
        <w:keepNext w:val="0"/>
        <w:keepLines w:val="0"/>
        <w:pageBreakBefore w:val="0"/>
        <w:widowControl w:val="0"/>
        <w:kinsoku/>
        <w:wordWrap/>
        <w:overflowPunct w:val="0"/>
        <w:topLinePunct/>
        <w:autoSpaceDE/>
        <w:autoSpaceDN/>
        <w:bidi w:val="0"/>
        <w:adjustRightInd w:val="0"/>
        <w:snapToGrid/>
        <w:spacing w:line="580" w:lineRule="exact"/>
        <w:ind w:firstLine="642" w:firstLineChars="200"/>
        <w:textAlignment w:val="baseline"/>
        <w:rPr>
          <w:rFonts w:ascii="方正仿宋简体" w:hAnsi="方正仿宋简体" w:eastAsia="方正仿宋简体"/>
          <w:b/>
        </w:rPr>
      </w:pPr>
      <w:r>
        <w:rPr>
          <w:rFonts w:hint="eastAsia" w:ascii="方正仿宋简体" w:hAnsi="方正仿宋简体" w:eastAsia="方正仿宋简体"/>
          <w:b/>
          <w:bCs/>
          <w:sz w:val="32"/>
        </w:rPr>
        <w:t>附</w:t>
      </w:r>
      <w:r>
        <w:rPr>
          <w:rFonts w:hint="eastAsia" w:ascii="方正仿宋简体" w:hAnsi="方正仿宋简体" w:eastAsia="方正仿宋简体"/>
          <w:b/>
          <w:bCs/>
          <w:sz w:val="32"/>
          <w:lang w:eastAsia="zh-CN"/>
        </w:rPr>
        <w:t>件</w:t>
      </w:r>
      <w:r>
        <w:rPr>
          <w:rFonts w:hint="eastAsia" w:ascii="方正仿宋简体" w:hAnsi="方正仿宋简体" w:eastAsia="方正仿宋简体"/>
          <w:b/>
          <w:bCs/>
          <w:sz w:val="32"/>
        </w:rPr>
        <w:t>：曲阜市市场主体公共信用综合评价指标目录</w:t>
      </w:r>
    </w:p>
    <w:p>
      <w:pPr>
        <w:pStyle w:val="4"/>
        <w:keepNext w:val="0"/>
        <w:keepLines w:val="0"/>
        <w:pageBreakBefore w:val="0"/>
        <w:widowControl w:val="0"/>
        <w:tabs>
          <w:tab w:val="left" w:pos="2038"/>
        </w:tabs>
        <w:kinsoku/>
        <w:wordWrap/>
        <w:overflowPunct/>
        <w:topLinePunct w:val="0"/>
        <w:autoSpaceDE/>
        <w:autoSpaceDN/>
        <w:bidi w:val="0"/>
        <w:adjustRightInd/>
        <w:snapToGrid/>
        <w:spacing w:line="580" w:lineRule="exact"/>
        <w:ind w:left="0"/>
        <w:textAlignment w:val="baseline"/>
        <w:rPr>
          <w:rFonts w:ascii="方正黑体简体" w:hAnsi="方正仿宋简体" w:eastAsia="方正黑体简体" w:cs="方正仿宋简体"/>
          <w:b/>
          <w:bCs/>
          <w:lang w:val="zh-CN" w:bidi="zh-CN"/>
        </w:rPr>
      </w:pPr>
      <w:r>
        <w:rPr>
          <w:rFonts w:ascii="方正仿宋简体" w:hAnsi="方正仿宋简体" w:eastAsia="方正仿宋简体"/>
          <w:b/>
        </w:rPr>
        <w:br w:type="page"/>
      </w:r>
      <w:r>
        <w:rPr>
          <w:rFonts w:ascii="方正黑体简体" w:hAnsi="方正仿宋简体" w:eastAsia="方正黑体简体" w:cs="方正仿宋简体"/>
          <w:b/>
          <w:bCs/>
          <w:lang w:val="zh-CN" w:bidi="zh-CN"/>
        </w:rPr>
        <w:t>附</w:t>
      </w:r>
      <w:r>
        <w:rPr>
          <w:rFonts w:hint="eastAsia" w:ascii="方正黑体简体" w:hAnsi="方正仿宋简体" w:eastAsia="方正黑体简体" w:cs="方正仿宋简体"/>
          <w:b/>
          <w:bCs/>
          <w:lang w:val="zh-CN" w:bidi="zh-CN"/>
        </w:rPr>
        <w:t>件</w:t>
      </w:r>
    </w:p>
    <w:p>
      <w:pPr>
        <w:keepNext w:val="0"/>
        <w:keepLines w:val="0"/>
        <w:pageBreakBefore w:val="0"/>
        <w:widowControl w:val="0"/>
        <w:kinsoku/>
        <w:wordWrap/>
        <w:overflowPunct/>
        <w:topLinePunct w:val="0"/>
        <w:autoSpaceDE/>
        <w:autoSpaceDN/>
        <w:bidi w:val="0"/>
        <w:adjustRightInd/>
        <w:snapToGrid/>
        <w:spacing w:line="580" w:lineRule="exact"/>
        <w:textAlignment w:val="baseline"/>
        <w:rPr>
          <w:rFonts w:ascii="方正仿宋简体" w:hAnsi="方正仿宋简体" w:eastAsia="方正仿宋简体"/>
          <w:b/>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ascii="Times New Roman" w:hAnsi="Times New Roman" w:eastAsia="方正小标宋简体" w:cs="Times New Roman"/>
          <w:b/>
          <w:sz w:val="44"/>
          <w:szCs w:val="44"/>
          <w:lang w:bidi="zh-CN"/>
        </w:rPr>
      </w:pPr>
      <w:r>
        <w:rPr>
          <w:rFonts w:hint="eastAsia" w:ascii="Times New Roman" w:hAnsi="Times New Roman" w:eastAsia="方正小标宋简体" w:cs="Times New Roman"/>
          <w:b/>
          <w:sz w:val="44"/>
          <w:szCs w:val="44"/>
          <w:lang w:bidi="zh-CN"/>
        </w:rPr>
        <w:t>曲阜市市场主体公共信用综合评价指标目录</w:t>
      </w:r>
    </w:p>
    <w:p>
      <w:pPr>
        <w:spacing w:line="600" w:lineRule="exact"/>
        <w:jc w:val="center"/>
        <w:rPr>
          <w:rFonts w:ascii="Times New Roman" w:hAnsi="Times New Roman" w:eastAsia="方正小标宋简体" w:cs="Times New Roman"/>
          <w:b/>
          <w:sz w:val="44"/>
          <w:szCs w:val="44"/>
          <w:lang w:bidi="zh-CN"/>
        </w:rPr>
      </w:pPr>
    </w:p>
    <w:tbl>
      <w:tblPr>
        <w:tblStyle w:val="9"/>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76"/>
        <w:gridCol w:w="6096"/>
        <w:gridCol w:w="127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683" w:type="dxa"/>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黑体简体" w:hAnsi="方正黑体简体" w:eastAsia="方正黑体简体" w:cs="方正黑体简体"/>
                <w:b/>
                <w:bCs/>
                <w:szCs w:val="21"/>
              </w:rPr>
              <w:t>信息属性</w:t>
            </w:r>
          </w:p>
        </w:tc>
        <w:tc>
          <w:tcPr>
            <w:tcW w:w="876" w:type="dxa"/>
            <w:vAlign w:val="center"/>
          </w:tcPr>
          <w:p>
            <w:pPr>
              <w:keepNext w:val="0"/>
              <w:keepLines w:val="0"/>
              <w:widowControl/>
              <w:suppressLineNumbers w:val="0"/>
              <w:spacing w:before="0" w:beforeAutospacing="0" w:after="0" w:afterAutospacing="0"/>
              <w:ind w:left="0" w:right="0"/>
              <w:jc w:val="center"/>
              <w:rPr>
                <w:rFonts w:hint="default" w:ascii="方正黑体简体" w:hAnsi="方正黑体简体" w:eastAsia="方正黑体简体" w:cs="方正黑体简体"/>
                <w:b/>
                <w:bCs/>
                <w:szCs w:val="21"/>
              </w:rPr>
            </w:pPr>
            <w:r>
              <w:rPr>
                <w:rFonts w:hint="eastAsia" w:ascii="方正黑体简体" w:hAnsi="方正黑体简体" w:eastAsia="方正黑体简体" w:cs="方正黑体简体"/>
                <w:b/>
                <w:bCs/>
                <w:szCs w:val="21"/>
              </w:rPr>
              <w:t>信息</w:t>
            </w:r>
          </w:p>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黑体简体" w:hAnsi="方正黑体简体" w:eastAsia="方正黑体简体" w:cs="方正黑体简体"/>
                <w:b/>
                <w:bCs/>
                <w:szCs w:val="21"/>
              </w:rPr>
              <w:t>类别</w:t>
            </w:r>
          </w:p>
        </w:tc>
        <w:tc>
          <w:tcPr>
            <w:tcW w:w="6096" w:type="dxa"/>
            <w:vAlign w:val="center"/>
          </w:tcPr>
          <w:p>
            <w:pPr>
              <w:pStyle w:val="15"/>
              <w:keepNext w:val="0"/>
              <w:keepLines w:val="0"/>
              <w:widowControl/>
              <w:suppressLineNumbers w:val="0"/>
              <w:autoSpaceDN/>
              <w:spacing w:before="63" w:beforeAutospacing="0" w:after="0" w:afterAutospacing="0"/>
              <w:ind w:left="0" w:right="0"/>
              <w:jc w:val="center"/>
              <w:rPr>
                <w:rFonts w:hint="default" w:ascii="方正仿宋简体" w:hAnsi="方正仿宋简体" w:eastAsia="方正仿宋简体" w:cs="方正仿宋简体"/>
                <w:b/>
                <w:bCs/>
                <w:kern w:val="2"/>
                <w:sz w:val="21"/>
                <w:szCs w:val="21"/>
              </w:rPr>
            </w:pPr>
            <w:r>
              <w:rPr>
                <w:rFonts w:hint="eastAsia" w:ascii="方正黑体简体" w:hAnsi="方正黑体简体" w:eastAsia="方正黑体简体" w:cs="方正黑体简体"/>
                <w:b/>
                <w:bCs/>
                <w:sz w:val="21"/>
                <w:szCs w:val="21"/>
              </w:rPr>
              <w:t>评  价  指  标</w:t>
            </w:r>
          </w:p>
        </w:tc>
        <w:tc>
          <w:tcPr>
            <w:tcW w:w="1276" w:type="dxa"/>
            <w:vAlign w:val="center"/>
          </w:tcPr>
          <w:p>
            <w:pPr>
              <w:pStyle w:val="15"/>
              <w:keepNext w:val="0"/>
              <w:keepLines w:val="0"/>
              <w:widowControl/>
              <w:suppressLineNumbers w:val="0"/>
              <w:autoSpaceDN/>
              <w:spacing w:before="63" w:beforeAutospacing="0" w:after="0" w:afterAutospacing="0"/>
              <w:ind w:left="0" w:right="0"/>
              <w:jc w:val="center"/>
              <w:rPr>
                <w:rFonts w:hint="default" w:ascii="方正仿宋简体" w:hAnsi="方正仿宋简体" w:eastAsia="方正仿宋简体" w:cs="方正仿宋简体"/>
                <w:b/>
                <w:bCs/>
                <w:kern w:val="2"/>
                <w:sz w:val="21"/>
                <w:szCs w:val="21"/>
              </w:rPr>
            </w:pPr>
            <w:r>
              <w:rPr>
                <w:rFonts w:hint="eastAsia" w:ascii="方正黑体简体" w:hAnsi="方正黑体简体" w:eastAsia="方正黑体简体" w:cs="方正黑体简体"/>
                <w:b/>
                <w:bCs/>
                <w:sz w:val="21"/>
                <w:szCs w:val="21"/>
              </w:rPr>
              <w:t>赋分</w:t>
            </w:r>
          </w:p>
        </w:tc>
        <w:tc>
          <w:tcPr>
            <w:tcW w:w="850" w:type="dxa"/>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黑体简体" w:hAnsi="方正黑体简体" w:eastAsia="方正黑体简体" w:cs="方正黑体简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jc w:val="center"/>
        </w:trPr>
        <w:tc>
          <w:tcPr>
            <w:tcW w:w="683" w:type="dxa"/>
            <w:vMerge w:val="restart"/>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守信信息</w:t>
            </w:r>
          </w:p>
        </w:tc>
        <w:tc>
          <w:tcPr>
            <w:tcW w:w="876" w:type="dxa"/>
            <w:vMerge w:val="restart"/>
            <w:vAlign w:val="center"/>
          </w:tcPr>
          <w:p>
            <w:pPr>
              <w:pStyle w:val="15"/>
              <w:keepNext w:val="0"/>
              <w:keepLines w:val="0"/>
              <w:suppressLineNumbers w:val="0"/>
              <w:spacing w:before="0" w:beforeAutospacing="0" w:after="0" w:afterAutospacing="0"/>
              <w:ind w:left="0" w:right="0"/>
              <w:jc w:val="center"/>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企业</w:t>
            </w:r>
          </w:p>
          <w:p>
            <w:pPr>
              <w:pStyle w:val="15"/>
              <w:keepNext w:val="0"/>
              <w:keepLines w:val="0"/>
              <w:suppressLineNumbers w:val="0"/>
              <w:spacing w:before="0" w:beforeAutospacing="0" w:after="0" w:afterAutospacing="0"/>
              <w:ind w:left="0" w:right="0"/>
              <w:jc w:val="center"/>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公益捐款捐物</w:t>
            </w:r>
          </w:p>
        </w:tc>
        <w:tc>
          <w:tcPr>
            <w:tcW w:w="6096" w:type="dxa"/>
            <w:vAlign w:val="center"/>
          </w:tcPr>
          <w:p>
            <w:pPr>
              <w:pStyle w:val="15"/>
              <w:keepNext w:val="0"/>
              <w:keepLines w:val="0"/>
              <w:widowControl/>
              <w:suppressLineNumbers w:val="0"/>
              <w:autoSpaceDE/>
              <w:autoSpaceDN/>
              <w:spacing w:before="15"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公益捐款</w:t>
            </w:r>
            <w:r>
              <w:rPr>
                <w:rFonts w:hint="default" w:ascii="Times New Roman" w:hAnsi="Times New Roman" w:eastAsia="方正仿宋简体" w:cs="Times New Roman"/>
                <w:b/>
                <w:bCs/>
                <w:kern w:val="2"/>
                <w:sz w:val="21"/>
                <w:szCs w:val="21"/>
              </w:rPr>
              <w:t>1000-10000</w:t>
            </w:r>
            <w:r>
              <w:rPr>
                <w:rFonts w:hint="eastAsia" w:ascii="方正仿宋简体" w:hAnsi="方正仿宋简体" w:eastAsia="方正仿宋简体" w:cs="方正仿宋简体"/>
                <w:b/>
                <w:bCs/>
                <w:kern w:val="2"/>
                <w:sz w:val="21"/>
                <w:szCs w:val="21"/>
              </w:rPr>
              <w:t>元的，每</w:t>
            </w:r>
            <w:r>
              <w:rPr>
                <w:rFonts w:hint="default" w:ascii="Times New Roman" w:hAnsi="Times New Roman" w:eastAsia="方正仿宋简体" w:cs="Times New Roman"/>
                <w:b/>
                <w:bCs/>
                <w:kern w:val="2"/>
                <w:sz w:val="21"/>
                <w:szCs w:val="21"/>
              </w:rPr>
              <w:t>1000</w:t>
            </w:r>
            <w:r>
              <w:rPr>
                <w:rFonts w:hint="eastAsia" w:ascii="方正仿宋简体" w:hAnsi="方正仿宋简体" w:eastAsia="方正仿宋简体" w:cs="方正仿宋简体"/>
                <w:b/>
                <w:bCs/>
                <w:kern w:val="2"/>
                <w:sz w:val="21"/>
                <w:szCs w:val="21"/>
              </w:rPr>
              <w:t>元加</w:t>
            </w:r>
            <w:r>
              <w:rPr>
                <w:rFonts w:hint="eastAsia" w:ascii="Times New Roman" w:hAnsi="Times New Roman" w:eastAsia="方正仿宋简体" w:cs="Times New Roman"/>
                <w:b/>
                <w:bCs/>
                <w:kern w:val="2"/>
                <w:sz w:val="21"/>
                <w:szCs w:val="21"/>
              </w:rPr>
              <w:t>0.5</w:t>
            </w:r>
            <w:r>
              <w:rPr>
                <w:rFonts w:hint="eastAsia" w:ascii="方正仿宋简体" w:hAnsi="方正仿宋简体" w:eastAsia="方正仿宋简体" w:cs="方正仿宋简体"/>
                <w:b/>
                <w:bCs/>
                <w:kern w:val="2"/>
                <w:sz w:val="21"/>
                <w:szCs w:val="21"/>
              </w:rPr>
              <w:t>分；</w:t>
            </w:r>
          </w:p>
          <w:p>
            <w:pPr>
              <w:pStyle w:val="15"/>
              <w:keepNext w:val="0"/>
              <w:keepLines w:val="0"/>
              <w:widowControl/>
              <w:suppressLineNumbers w:val="0"/>
              <w:autoSpaceDE/>
              <w:autoSpaceDN/>
              <w:spacing w:before="15"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公益捐物价值</w:t>
            </w:r>
            <w:r>
              <w:rPr>
                <w:rFonts w:hint="default" w:ascii="Times New Roman" w:hAnsi="Times New Roman" w:eastAsia="方正仿宋简体" w:cs="Times New Roman"/>
                <w:b/>
                <w:bCs/>
                <w:kern w:val="2"/>
                <w:sz w:val="21"/>
                <w:szCs w:val="21"/>
              </w:rPr>
              <w:t>2000</w:t>
            </w:r>
            <w:r>
              <w:rPr>
                <w:rFonts w:hint="eastAsia" w:ascii="Times New Roman" w:hAnsi="Times New Roman" w:eastAsia="方正仿宋简体" w:cs="Times New Roman"/>
                <w:b/>
                <w:bCs/>
                <w:kern w:val="2"/>
                <w:sz w:val="21"/>
                <w:szCs w:val="21"/>
              </w:rPr>
              <w:t>-</w:t>
            </w:r>
            <w:r>
              <w:rPr>
                <w:rFonts w:hint="default" w:ascii="Times New Roman" w:hAnsi="Times New Roman" w:eastAsia="方正仿宋简体" w:cs="Times New Roman"/>
                <w:b/>
                <w:bCs/>
                <w:kern w:val="2"/>
                <w:sz w:val="21"/>
                <w:szCs w:val="21"/>
              </w:rPr>
              <w:t>20000</w:t>
            </w:r>
            <w:r>
              <w:rPr>
                <w:rFonts w:hint="eastAsia" w:ascii="方正仿宋简体" w:hAnsi="方正仿宋简体" w:eastAsia="方正仿宋简体" w:cs="方正仿宋简体"/>
                <w:b/>
                <w:bCs/>
                <w:kern w:val="2"/>
                <w:sz w:val="21"/>
                <w:szCs w:val="21"/>
              </w:rPr>
              <w:t>元的，每</w:t>
            </w:r>
            <w:r>
              <w:rPr>
                <w:rFonts w:hint="default" w:ascii="Times New Roman" w:hAnsi="Times New Roman" w:eastAsia="方正仿宋简体" w:cs="Times New Roman"/>
                <w:b/>
                <w:bCs/>
                <w:kern w:val="2"/>
                <w:sz w:val="21"/>
                <w:szCs w:val="21"/>
              </w:rPr>
              <w:t>2000</w:t>
            </w:r>
            <w:r>
              <w:rPr>
                <w:rFonts w:hint="eastAsia" w:ascii="方正仿宋简体" w:hAnsi="方正仿宋简体" w:eastAsia="方正仿宋简体" w:cs="方正仿宋简体"/>
                <w:b/>
                <w:bCs/>
                <w:kern w:val="2"/>
                <w:sz w:val="21"/>
                <w:szCs w:val="21"/>
              </w:rPr>
              <w:t>元加</w:t>
            </w:r>
            <w:r>
              <w:rPr>
                <w:rFonts w:hint="eastAsia" w:ascii="Times New Roman" w:hAnsi="Times New Roman" w:eastAsia="方正仿宋简体" w:cs="Times New Roman"/>
                <w:b/>
                <w:bCs/>
                <w:kern w:val="2"/>
                <w:sz w:val="21"/>
                <w:szCs w:val="21"/>
              </w:rPr>
              <w:t>0.5</w:t>
            </w:r>
            <w:r>
              <w:rPr>
                <w:rFonts w:hint="eastAsia" w:ascii="方正仿宋简体" w:hAnsi="方正仿宋简体" w:eastAsia="方正仿宋简体" w:cs="方正仿宋简体"/>
                <w:b/>
                <w:bCs/>
                <w:kern w:val="2"/>
                <w:sz w:val="21"/>
                <w:szCs w:val="21"/>
              </w:rPr>
              <w:t>分</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5</w:t>
            </w:r>
          </w:p>
        </w:tc>
        <w:tc>
          <w:tcPr>
            <w:tcW w:w="850" w:type="dxa"/>
            <w:vMerge w:val="restart"/>
            <w:vAlign w:val="center"/>
          </w:tcPr>
          <w:p>
            <w:pPr>
              <w:keepNext w:val="0"/>
              <w:keepLines w:val="0"/>
              <w:widowControl/>
              <w:suppressLineNumbers w:val="0"/>
              <w:spacing w:before="0" w:beforeAutospacing="0" w:after="0" w:afterAutospacing="0"/>
              <w:ind w:left="0" w:right="0"/>
              <w:jc w:val="center"/>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每年</w:t>
            </w:r>
          </w:p>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最多加</w:t>
            </w:r>
            <w:r>
              <w:rPr>
                <w:rFonts w:hint="eastAsia" w:ascii="Times New Roman" w:hAnsi="Times New Roman" w:eastAsia="方正仿宋简体" w:cs="Times New Roman"/>
                <w:b/>
                <w:bCs/>
                <w:szCs w:val="21"/>
              </w:rPr>
              <w:t>1</w:t>
            </w:r>
            <w:r>
              <w:rPr>
                <w:rFonts w:hint="default" w:ascii="Times New Roman" w:hAnsi="Times New Roman" w:eastAsia="方正仿宋简体" w:cs="Times New Roman"/>
                <w:b/>
                <w:bCs/>
                <w:szCs w:val="21"/>
              </w:rPr>
              <w:t>0</w:t>
            </w:r>
            <w:r>
              <w:rPr>
                <w:rFonts w:hint="eastAsia" w:ascii="方正仿宋简体" w:hAnsi="方正仿宋简体" w:eastAsia="方正仿宋简体" w:cs="方正仿宋简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widowControl/>
              <w:suppressLineNumbers w:val="0"/>
              <w:autoSpaceDE/>
              <w:autoSpaceDN/>
              <w:spacing w:before="15"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公益捐款</w:t>
            </w:r>
            <w:r>
              <w:rPr>
                <w:rFonts w:hint="default" w:ascii="Times New Roman" w:hAnsi="Times New Roman" w:eastAsia="方正仿宋简体" w:cs="Times New Roman"/>
                <w:b/>
                <w:bCs/>
                <w:kern w:val="2"/>
                <w:sz w:val="21"/>
                <w:szCs w:val="21"/>
              </w:rPr>
              <w:t>10001</w:t>
            </w:r>
            <w:r>
              <w:rPr>
                <w:rFonts w:hint="eastAsia" w:ascii="Times New Roman" w:hAnsi="Times New Roman" w:eastAsia="方正仿宋简体" w:cs="Times New Roman"/>
                <w:b/>
                <w:bCs/>
                <w:kern w:val="2"/>
                <w:sz w:val="21"/>
                <w:szCs w:val="21"/>
              </w:rPr>
              <w:t>-</w:t>
            </w:r>
            <w:r>
              <w:rPr>
                <w:rFonts w:hint="default" w:ascii="Times New Roman" w:hAnsi="Times New Roman" w:eastAsia="方正仿宋简体" w:cs="Times New Roman"/>
                <w:b/>
                <w:bCs/>
                <w:kern w:val="2"/>
                <w:sz w:val="21"/>
                <w:szCs w:val="21"/>
              </w:rPr>
              <w:t>50000</w:t>
            </w:r>
            <w:r>
              <w:rPr>
                <w:rFonts w:hint="eastAsia" w:ascii="方正仿宋简体" w:hAnsi="方正仿宋简体" w:eastAsia="方正仿宋简体" w:cs="方正仿宋简体"/>
                <w:b/>
                <w:bCs/>
                <w:kern w:val="2"/>
                <w:sz w:val="21"/>
                <w:szCs w:val="21"/>
              </w:rPr>
              <w:t>元的，每</w:t>
            </w:r>
            <w:r>
              <w:rPr>
                <w:rFonts w:hint="eastAsia" w:ascii="Times New Roman" w:hAnsi="Times New Roman" w:eastAsia="方正仿宋简体" w:cs="Times New Roman"/>
                <w:b/>
                <w:bCs/>
                <w:kern w:val="2"/>
                <w:sz w:val="21"/>
                <w:szCs w:val="21"/>
              </w:rPr>
              <w:t>5</w:t>
            </w:r>
            <w:r>
              <w:rPr>
                <w:rFonts w:hint="default" w:ascii="Times New Roman" w:hAnsi="Times New Roman" w:eastAsia="方正仿宋简体" w:cs="Times New Roman"/>
                <w:b/>
                <w:bCs/>
                <w:kern w:val="2"/>
                <w:sz w:val="21"/>
                <w:szCs w:val="21"/>
              </w:rPr>
              <w:t>000</w:t>
            </w:r>
            <w:r>
              <w:rPr>
                <w:rFonts w:hint="eastAsia" w:ascii="方正仿宋简体" w:hAnsi="方正仿宋简体" w:eastAsia="方正仿宋简体" w:cs="方正仿宋简体"/>
                <w:b/>
                <w:bCs/>
                <w:kern w:val="2"/>
                <w:sz w:val="21"/>
                <w:szCs w:val="21"/>
              </w:rPr>
              <w:t>元</w:t>
            </w:r>
            <w:r>
              <w:rPr>
                <w:rFonts w:hint="eastAsia" w:ascii="Times New Roman" w:hAnsi="Times New Roman" w:eastAsia="方正仿宋简体" w:cs="Times New Roman"/>
                <w:b/>
                <w:bCs/>
                <w:kern w:val="2"/>
                <w:sz w:val="21"/>
                <w:szCs w:val="21"/>
              </w:rPr>
              <w:t>0.25</w:t>
            </w:r>
            <w:r>
              <w:rPr>
                <w:rFonts w:hint="eastAsia" w:ascii="方正仿宋简体" w:hAnsi="方正仿宋简体" w:eastAsia="方正仿宋简体" w:cs="方正仿宋简体"/>
                <w:b/>
                <w:bCs/>
                <w:kern w:val="2"/>
                <w:sz w:val="21"/>
                <w:szCs w:val="21"/>
              </w:rPr>
              <w:t>分；</w:t>
            </w:r>
          </w:p>
          <w:p>
            <w:pPr>
              <w:pStyle w:val="15"/>
              <w:keepNext w:val="0"/>
              <w:keepLines w:val="0"/>
              <w:widowControl/>
              <w:suppressLineNumbers w:val="0"/>
              <w:autoSpaceDE/>
              <w:autoSpaceDN/>
              <w:spacing w:before="15"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公益捐物价值</w:t>
            </w:r>
            <w:r>
              <w:rPr>
                <w:rFonts w:hint="default" w:ascii="Times New Roman" w:hAnsi="Times New Roman" w:eastAsia="方正仿宋简体" w:cs="Times New Roman"/>
                <w:b/>
                <w:bCs/>
                <w:kern w:val="2"/>
                <w:sz w:val="21"/>
                <w:szCs w:val="21"/>
              </w:rPr>
              <w:t>20001</w:t>
            </w:r>
            <w:r>
              <w:rPr>
                <w:rFonts w:hint="eastAsia" w:ascii="Times New Roman" w:hAnsi="Times New Roman" w:eastAsia="方正仿宋简体" w:cs="Times New Roman"/>
                <w:b/>
                <w:bCs/>
                <w:kern w:val="2"/>
                <w:sz w:val="21"/>
                <w:szCs w:val="21"/>
              </w:rPr>
              <w:t>-</w:t>
            </w:r>
            <w:r>
              <w:rPr>
                <w:rFonts w:hint="default" w:ascii="Times New Roman" w:hAnsi="Times New Roman" w:eastAsia="方正仿宋简体" w:cs="Times New Roman"/>
                <w:b/>
                <w:bCs/>
                <w:kern w:val="2"/>
                <w:sz w:val="21"/>
                <w:szCs w:val="21"/>
              </w:rPr>
              <w:t>100000</w:t>
            </w:r>
            <w:r>
              <w:rPr>
                <w:rFonts w:hint="eastAsia" w:ascii="方正仿宋简体" w:hAnsi="方正仿宋简体" w:eastAsia="方正仿宋简体" w:cs="方正仿宋简体"/>
                <w:b/>
                <w:bCs/>
                <w:kern w:val="2"/>
                <w:sz w:val="21"/>
                <w:szCs w:val="21"/>
              </w:rPr>
              <w:t>元的，每</w:t>
            </w:r>
            <w:r>
              <w:rPr>
                <w:rFonts w:hint="eastAsia" w:ascii="Times New Roman" w:hAnsi="Times New Roman" w:eastAsia="方正仿宋简体" w:cs="Times New Roman"/>
                <w:b/>
                <w:bCs/>
                <w:kern w:val="2"/>
                <w:sz w:val="21"/>
                <w:szCs w:val="21"/>
              </w:rPr>
              <w:t>10</w:t>
            </w:r>
            <w:r>
              <w:rPr>
                <w:rFonts w:hint="default" w:ascii="Times New Roman" w:hAnsi="Times New Roman" w:eastAsia="方正仿宋简体" w:cs="Times New Roman"/>
                <w:b/>
                <w:bCs/>
                <w:kern w:val="2"/>
                <w:sz w:val="21"/>
                <w:szCs w:val="21"/>
              </w:rPr>
              <w:t>000</w:t>
            </w:r>
            <w:r>
              <w:rPr>
                <w:rFonts w:hint="eastAsia" w:ascii="方正仿宋简体" w:hAnsi="方正仿宋简体" w:eastAsia="方正仿宋简体" w:cs="方正仿宋简体"/>
                <w:b/>
                <w:bCs/>
                <w:kern w:val="2"/>
                <w:sz w:val="21"/>
                <w:szCs w:val="21"/>
              </w:rPr>
              <w:t>元加</w:t>
            </w:r>
            <w:r>
              <w:rPr>
                <w:rFonts w:hint="eastAsia" w:ascii="Times New Roman" w:hAnsi="Times New Roman" w:eastAsia="方正仿宋简体" w:cs="Times New Roman"/>
                <w:b/>
                <w:bCs/>
                <w:kern w:val="2"/>
                <w:sz w:val="21"/>
                <w:szCs w:val="21"/>
              </w:rPr>
              <w:t>0.25</w:t>
            </w:r>
            <w:r>
              <w:rPr>
                <w:rFonts w:hint="eastAsia" w:ascii="方正仿宋简体" w:hAnsi="方正仿宋简体" w:eastAsia="方正仿宋简体" w:cs="方正仿宋简体"/>
                <w:b/>
                <w:bCs/>
                <w:kern w:val="2"/>
                <w:sz w:val="21"/>
                <w:szCs w:val="21"/>
              </w:rPr>
              <w:t>分</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5至+7</w:t>
            </w:r>
          </w:p>
        </w:tc>
        <w:tc>
          <w:tcPr>
            <w:tcW w:w="850"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widowControl/>
              <w:suppressLineNumbers w:val="0"/>
              <w:autoSpaceDE/>
              <w:autoSpaceDN/>
              <w:spacing w:before="15"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公益捐款</w:t>
            </w:r>
            <w:r>
              <w:rPr>
                <w:rFonts w:hint="default" w:ascii="Times New Roman" w:hAnsi="Times New Roman" w:eastAsia="方正仿宋简体" w:cs="Times New Roman"/>
                <w:b/>
                <w:bCs/>
                <w:kern w:val="2"/>
                <w:sz w:val="21"/>
                <w:szCs w:val="21"/>
              </w:rPr>
              <w:t>50001</w:t>
            </w:r>
            <w:r>
              <w:rPr>
                <w:rFonts w:hint="eastAsia" w:ascii="Times New Roman" w:hAnsi="Times New Roman" w:eastAsia="方正仿宋简体" w:cs="Times New Roman"/>
                <w:b/>
                <w:bCs/>
                <w:kern w:val="2"/>
                <w:sz w:val="21"/>
                <w:szCs w:val="21"/>
              </w:rPr>
              <w:t>-</w:t>
            </w:r>
            <w:r>
              <w:rPr>
                <w:rFonts w:hint="default" w:ascii="Times New Roman" w:hAnsi="Times New Roman" w:eastAsia="方正仿宋简体" w:cs="Times New Roman"/>
                <w:b/>
                <w:bCs/>
                <w:kern w:val="2"/>
                <w:sz w:val="21"/>
                <w:szCs w:val="21"/>
              </w:rPr>
              <w:t>100000</w:t>
            </w:r>
            <w:r>
              <w:rPr>
                <w:rFonts w:hint="eastAsia" w:ascii="方正仿宋简体" w:hAnsi="方正仿宋简体" w:eastAsia="方正仿宋简体" w:cs="方正仿宋简体"/>
                <w:b/>
                <w:bCs/>
                <w:kern w:val="2"/>
                <w:sz w:val="21"/>
                <w:szCs w:val="21"/>
              </w:rPr>
              <w:t>元的，每</w:t>
            </w:r>
            <w:r>
              <w:rPr>
                <w:rFonts w:hint="default" w:ascii="Times New Roman" w:hAnsi="Times New Roman" w:eastAsia="方正仿宋简体" w:cs="Times New Roman"/>
                <w:b/>
                <w:bCs/>
                <w:kern w:val="2"/>
                <w:sz w:val="21"/>
                <w:szCs w:val="21"/>
              </w:rPr>
              <w:t>5000</w:t>
            </w:r>
            <w:r>
              <w:rPr>
                <w:rFonts w:hint="eastAsia" w:ascii="方正仿宋简体" w:hAnsi="方正仿宋简体" w:eastAsia="方正仿宋简体" w:cs="方正仿宋简体"/>
                <w:b/>
                <w:bCs/>
                <w:kern w:val="2"/>
                <w:sz w:val="21"/>
                <w:szCs w:val="21"/>
              </w:rPr>
              <w:t>元加</w:t>
            </w:r>
            <w:r>
              <w:rPr>
                <w:rFonts w:hint="eastAsia" w:ascii="Times New Roman" w:hAnsi="Times New Roman" w:eastAsia="方正仿宋简体" w:cs="Times New Roman"/>
                <w:b/>
                <w:bCs/>
                <w:kern w:val="2"/>
                <w:sz w:val="21"/>
                <w:szCs w:val="21"/>
              </w:rPr>
              <w:t>0.</w:t>
            </w:r>
            <w:r>
              <w:rPr>
                <w:rFonts w:hint="default" w:ascii="Times New Roman" w:hAnsi="Times New Roman" w:eastAsia="方正仿宋简体" w:cs="Times New Roman"/>
                <w:b/>
                <w:bCs/>
                <w:kern w:val="2"/>
                <w:sz w:val="21"/>
                <w:szCs w:val="21"/>
              </w:rPr>
              <w:t>1</w:t>
            </w:r>
            <w:r>
              <w:rPr>
                <w:rFonts w:hint="eastAsia" w:ascii="方正仿宋简体" w:hAnsi="方正仿宋简体" w:eastAsia="方正仿宋简体" w:cs="方正仿宋简体"/>
                <w:b/>
                <w:bCs/>
                <w:kern w:val="2"/>
                <w:sz w:val="21"/>
                <w:szCs w:val="21"/>
              </w:rPr>
              <w:t>分；</w:t>
            </w:r>
          </w:p>
          <w:p>
            <w:pPr>
              <w:pStyle w:val="15"/>
              <w:keepNext w:val="0"/>
              <w:keepLines w:val="0"/>
              <w:widowControl/>
              <w:suppressLineNumbers w:val="0"/>
              <w:autoSpaceDE/>
              <w:autoSpaceDN/>
              <w:spacing w:before="15"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公益捐物价值</w:t>
            </w:r>
            <w:r>
              <w:rPr>
                <w:rFonts w:hint="default" w:ascii="Times New Roman" w:hAnsi="Times New Roman" w:eastAsia="方正仿宋简体" w:cs="Times New Roman"/>
                <w:b/>
                <w:bCs/>
                <w:kern w:val="2"/>
                <w:sz w:val="21"/>
                <w:szCs w:val="21"/>
              </w:rPr>
              <w:t>100001</w:t>
            </w:r>
            <w:r>
              <w:rPr>
                <w:rFonts w:hint="eastAsia" w:ascii="Times New Roman" w:hAnsi="Times New Roman" w:eastAsia="方正仿宋简体" w:cs="Times New Roman"/>
                <w:b/>
                <w:bCs/>
                <w:kern w:val="2"/>
                <w:sz w:val="21"/>
                <w:szCs w:val="21"/>
              </w:rPr>
              <w:t>-</w:t>
            </w:r>
            <w:r>
              <w:rPr>
                <w:rFonts w:hint="default" w:ascii="Times New Roman" w:hAnsi="Times New Roman" w:eastAsia="方正仿宋简体" w:cs="Times New Roman"/>
                <w:b/>
                <w:bCs/>
                <w:kern w:val="2"/>
                <w:sz w:val="21"/>
                <w:szCs w:val="21"/>
              </w:rPr>
              <w:t>200000</w:t>
            </w:r>
            <w:r>
              <w:rPr>
                <w:rFonts w:hint="eastAsia" w:ascii="方正仿宋简体" w:hAnsi="方正仿宋简体" w:eastAsia="方正仿宋简体" w:cs="方正仿宋简体"/>
                <w:b/>
                <w:bCs/>
                <w:kern w:val="2"/>
                <w:sz w:val="21"/>
                <w:szCs w:val="21"/>
              </w:rPr>
              <w:t>元的，每</w:t>
            </w:r>
            <w:r>
              <w:rPr>
                <w:rFonts w:hint="default" w:ascii="Times New Roman" w:hAnsi="Times New Roman" w:eastAsia="方正仿宋简体" w:cs="Times New Roman"/>
                <w:b/>
                <w:bCs/>
                <w:kern w:val="2"/>
                <w:sz w:val="21"/>
                <w:szCs w:val="21"/>
              </w:rPr>
              <w:t>1</w:t>
            </w:r>
            <w:r>
              <w:rPr>
                <w:rFonts w:hint="eastAsia" w:ascii="方正仿宋简体" w:hAnsi="方正仿宋简体" w:eastAsia="方正仿宋简体" w:cs="方正仿宋简体"/>
                <w:b/>
                <w:bCs/>
                <w:kern w:val="2"/>
                <w:sz w:val="21"/>
                <w:szCs w:val="21"/>
              </w:rPr>
              <w:t>万元加</w:t>
            </w:r>
            <w:r>
              <w:rPr>
                <w:rFonts w:hint="eastAsia" w:ascii="Times New Roman" w:hAnsi="Times New Roman" w:eastAsia="方正仿宋简体" w:cs="Times New Roman"/>
                <w:b/>
                <w:bCs/>
                <w:kern w:val="2"/>
                <w:sz w:val="21"/>
                <w:szCs w:val="21"/>
              </w:rPr>
              <w:t>0.</w:t>
            </w:r>
            <w:r>
              <w:rPr>
                <w:rFonts w:hint="default" w:ascii="Times New Roman" w:hAnsi="Times New Roman" w:eastAsia="方正仿宋简体" w:cs="Times New Roman"/>
                <w:b/>
                <w:bCs/>
                <w:kern w:val="2"/>
                <w:sz w:val="21"/>
                <w:szCs w:val="21"/>
              </w:rPr>
              <w:t>1</w:t>
            </w:r>
            <w:r>
              <w:rPr>
                <w:rFonts w:hint="eastAsia" w:ascii="方正仿宋简体" w:hAnsi="方正仿宋简体" w:eastAsia="方正仿宋简体" w:cs="方正仿宋简体"/>
                <w:b/>
                <w:bCs/>
                <w:kern w:val="2"/>
                <w:sz w:val="21"/>
                <w:szCs w:val="21"/>
              </w:rPr>
              <w:t>分</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7至+8</w:t>
            </w:r>
          </w:p>
        </w:tc>
        <w:tc>
          <w:tcPr>
            <w:tcW w:w="850"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widowControl/>
              <w:suppressLineNumbers w:val="0"/>
              <w:autoSpaceDE/>
              <w:autoSpaceDN/>
              <w:spacing w:before="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公益捐款</w:t>
            </w:r>
            <w:r>
              <w:rPr>
                <w:rFonts w:hint="default" w:ascii="Times New Roman" w:hAnsi="Times New Roman" w:eastAsia="方正仿宋简体" w:cs="Times New Roman"/>
                <w:b/>
                <w:bCs/>
                <w:kern w:val="2"/>
                <w:sz w:val="21"/>
                <w:szCs w:val="21"/>
              </w:rPr>
              <w:t>10</w:t>
            </w:r>
            <w:r>
              <w:rPr>
                <w:rFonts w:hint="eastAsia" w:ascii="方正仿宋简体" w:hAnsi="方正仿宋简体" w:eastAsia="方正仿宋简体" w:cs="方正仿宋简体"/>
                <w:b/>
                <w:bCs/>
                <w:kern w:val="2"/>
                <w:sz w:val="21"/>
                <w:szCs w:val="21"/>
              </w:rPr>
              <w:t>万元以上的，每</w:t>
            </w:r>
            <w:r>
              <w:rPr>
                <w:rFonts w:hint="default" w:ascii="Times New Roman" w:hAnsi="Times New Roman" w:eastAsia="方正仿宋简体" w:cs="Times New Roman"/>
                <w:b/>
                <w:bCs/>
                <w:kern w:val="2"/>
                <w:sz w:val="21"/>
                <w:szCs w:val="21"/>
              </w:rPr>
              <w:t>1</w:t>
            </w:r>
            <w:r>
              <w:rPr>
                <w:rFonts w:hint="eastAsia" w:ascii="方正仿宋简体" w:hAnsi="方正仿宋简体" w:eastAsia="方正仿宋简体" w:cs="方正仿宋简体"/>
                <w:b/>
                <w:bCs/>
                <w:kern w:val="2"/>
                <w:sz w:val="21"/>
                <w:szCs w:val="21"/>
              </w:rPr>
              <w:t>万元加</w:t>
            </w:r>
            <w:r>
              <w:rPr>
                <w:rFonts w:hint="eastAsia" w:ascii="Times New Roman" w:hAnsi="Times New Roman" w:eastAsia="方正仿宋简体" w:cs="Times New Roman"/>
                <w:b/>
                <w:bCs/>
                <w:kern w:val="2"/>
                <w:sz w:val="21"/>
                <w:szCs w:val="21"/>
              </w:rPr>
              <w:t>0.2</w:t>
            </w:r>
            <w:r>
              <w:rPr>
                <w:rFonts w:hint="eastAsia" w:ascii="方正仿宋简体" w:hAnsi="方正仿宋简体" w:eastAsia="方正仿宋简体" w:cs="方正仿宋简体"/>
                <w:b/>
                <w:bCs/>
                <w:kern w:val="2"/>
                <w:sz w:val="21"/>
                <w:szCs w:val="21"/>
              </w:rPr>
              <w:t>分；</w:t>
            </w:r>
          </w:p>
          <w:p>
            <w:pPr>
              <w:pStyle w:val="15"/>
              <w:keepNext w:val="0"/>
              <w:keepLines w:val="0"/>
              <w:widowControl/>
              <w:suppressLineNumbers w:val="0"/>
              <w:autoSpaceDE/>
              <w:autoSpaceDN/>
              <w:spacing w:before="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公益捐物价值</w:t>
            </w:r>
            <w:r>
              <w:rPr>
                <w:rFonts w:hint="default" w:ascii="Times New Roman" w:hAnsi="Times New Roman" w:eastAsia="方正仿宋简体" w:cs="Times New Roman"/>
                <w:b/>
                <w:bCs/>
                <w:kern w:val="2"/>
                <w:sz w:val="21"/>
                <w:szCs w:val="21"/>
              </w:rPr>
              <w:t>20</w:t>
            </w:r>
            <w:r>
              <w:rPr>
                <w:rFonts w:hint="eastAsia" w:ascii="方正仿宋简体" w:hAnsi="方正仿宋简体" w:eastAsia="方正仿宋简体" w:cs="方正仿宋简体"/>
                <w:b/>
                <w:bCs/>
                <w:kern w:val="2"/>
                <w:sz w:val="21"/>
                <w:szCs w:val="21"/>
              </w:rPr>
              <w:t>万元以上的，每</w:t>
            </w:r>
            <w:r>
              <w:rPr>
                <w:rFonts w:hint="default" w:ascii="Times New Roman" w:hAnsi="Times New Roman" w:eastAsia="方正仿宋简体" w:cs="Times New Roman"/>
                <w:b/>
                <w:bCs/>
                <w:kern w:val="2"/>
                <w:sz w:val="21"/>
                <w:szCs w:val="21"/>
              </w:rPr>
              <w:t>2</w:t>
            </w:r>
            <w:r>
              <w:rPr>
                <w:rFonts w:hint="eastAsia" w:ascii="方正仿宋简体" w:hAnsi="方正仿宋简体" w:eastAsia="方正仿宋简体" w:cs="方正仿宋简体"/>
                <w:b/>
                <w:bCs/>
                <w:kern w:val="2"/>
                <w:sz w:val="21"/>
                <w:szCs w:val="21"/>
              </w:rPr>
              <w:t>万元加</w:t>
            </w:r>
            <w:r>
              <w:rPr>
                <w:rFonts w:hint="eastAsia" w:ascii="Times New Roman" w:hAnsi="Times New Roman" w:eastAsia="方正仿宋简体" w:cs="Times New Roman"/>
                <w:b/>
                <w:bCs/>
                <w:kern w:val="2"/>
                <w:sz w:val="21"/>
                <w:szCs w:val="21"/>
              </w:rPr>
              <w:t>0.2</w:t>
            </w:r>
            <w:r>
              <w:rPr>
                <w:rFonts w:hint="eastAsia" w:ascii="方正仿宋简体" w:hAnsi="方正仿宋简体" w:eastAsia="方正仿宋简体" w:cs="方正仿宋简体"/>
                <w:b/>
                <w:bCs/>
                <w:kern w:val="2"/>
                <w:sz w:val="21"/>
                <w:szCs w:val="21"/>
              </w:rPr>
              <w:t>分</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8至+10</w:t>
            </w:r>
          </w:p>
        </w:tc>
        <w:tc>
          <w:tcPr>
            <w:tcW w:w="850"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restart"/>
            <w:vAlign w:val="center"/>
          </w:tcPr>
          <w:p>
            <w:pPr>
              <w:pStyle w:val="15"/>
              <w:keepNext w:val="0"/>
              <w:keepLines w:val="0"/>
              <w:suppressLineNumbers w:val="0"/>
              <w:spacing w:before="18" w:beforeAutospacing="0" w:after="0" w:afterAutospacing="0"/>
              <w:ind w:left="0" w:right="0"/>
              <w:jc w:val="center"/>
              <w:rPr>
                <w:rFonts w:hint="eastAsia"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个体</w:t>
            </w:r>
          </w:p>
          <w:p>
            <w:pPr>
              <w:pStyle w:val="15"/>
              <w:keepNext w:val="0"/>
              <w:keepLines w:val="0"/>
              <w:suppressLineNumbers w:val="0"/>
              <w:spacing w:before="18" w:beforeAutospacing="0" w:after="0" w:afterAutospacing="0"/>
              <w:ind w:left="0" w:right="0"/>
              <w:jc w:val="center"/>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工商户</w:t>
            </w:r>
          </w:p>
          <w:p>
            <w:pPr>
              <w:pStyle w:val="15"/>
              <w:keepNext w:val="0"/>
              <w:keepLines w:val="0"/>
              <w:suppressLineNumbers w:val="0"/>
              <w:spacing w:before="18" w:beforeAutospacing="0" w:after="0" w:afterAutospacing="0"/>
              <w:ind w:left="0" w:right="0"/>
              <w:jc w:val="center"/>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公益捐款捐物</w:t>
            </w:r>
          </w:p>
        </w:tc>
        <w:tc>
          <w:tcPr>
            <w:tcW w:w="6096" w:type="dxa"/>
            <w:vAlign w:val="center"/>
          </w:tcPr>
          <w:p>
            <w:pPr>
              <w:pStyle w:val="15"/>
              <w:keepNext w:val="0"/>
              <w:keepLines w:val="0"/>
              <w:widowControl/>
              <w:suppressLineNumbers w:val="0"/>
              <w:autoSpaceDE/>
              <w:autoSpaceDN/>
              <w:spacing w:before="15"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公益捐款</w:t>
            </w:r>
            <w:r>
              <w:rPr>
                <w:rFonts w:hint="default" w:ascii="Times New Roman" w:hAnsi="Times New Roman" w:eastAsia="方正仿宋简体" w:cs="Times New Roman"/>
                <w:b/>
                <w:bCs/>
                <w:kern w:val="2"/>
                <w:sz w:val="21"/>
                <w:szCs w:val="21"/>
              </w:rPr>
              <w:t>200</w:t>
            </w:r>
            <w:r>
              <w:rPr>
                <w:rFonts w:hint="eastAsia" w:ascii="Times New Roman" w:hAnsi="Times New Roman" w:eastAsia="方正仿宋简体" w:cs="Times New Roman"/>
                <w:b/>
                <w:bCs/>
                <w:kern w:val="2"/>
                <w:sz w:val="21"/>
                <w:szCs w:val="21"/>
              </w:rPr>
              <w:t>-</w:t>
            </w:r>
            <w:r>
              <w:rPr>
                <w:rFonts w:hint="default" w:ascii="Times New Roman" w:hAnsi="Times New Roman" w:eastAsia="方正仿宋简体" w:cs="Times New Roman"/>
                <w:b/>
                <w:bCs/>
                <w:kern w:val="2"/>
                <w:sz w:val="21"/>
                <w:szCs w:val="21"/>
              </w:rPr>
              <w:t>2000</w:t>
            </w:r>
            <w:r>
              <w:rPr>
                <w:rFonts w:hint="eastAsia" w:ascii="方正仿宋简体" w:hAnsi="方正仿宋简体" w:eastAsia="方正仿宋简体" w:cs="方正仿宋简体"/>
                <w:b/>
                <w:bCs/>
                <w:kern w:val="2"/>
                <w:sz w:val="21"/>
                <w:szCs w:val="21"/>
              </w:rPr>
              <w:t>元的，每</w:t>
            </w:r>
            <w:r>
              <w:rPr>
                <w:rFonts w:hint="default" w:ascii="Times New Roman" w:hAnsi="Times New Roman" w:eastAsia="方正仿宋简体" w:cs="Times New Roman"/>
                <w:b/>
                <w:bCs/>
                <w:kern w:val="2"/>
                <w:sz w:val="21"/>
                <w:szCs w:val="21"/>
              </w:rPr>
              <w:t>200</w:t>
            </w:r>
            <w:r>
              <w:rPr>
                <w:rFonts w:hint="eastAsia" w:ascii="方正仿宋简体" w:hAnsi="方正仿宋简体" w:eastAsia="方正仿宋简体" w:cs="方正仿宋简体"/>
                <w:b/>
                <w:bCs/>
                <w:kern w:val="2"/>
                <w:sz w:val="21"/>
                <w:szCs w:val="21"/>
              </w:rPr>
              <w:t>元加</w:t>
            </w:r>
            <w:r>
              <w:rPr>
                <w:rFonts w:hint="eastAsia" w:ascii="Times New Roman" w:hAnsi="Times New Roman" w:eastAsia="方正仿宋简体" w:cs="Times New Roman"/>
                <w:b/>
                <w:bCs/>
                <w:kern w:val="2"/>
                <w:sz w:val="21"/>
                <w:szCs w:val="21"/>
              </w:rPr>
              <w:t>0.5</w:t>
            </w:r>
            <w:r>
              <w:rPr>
                <w:rFonts w:hint="eastAsia" w:ascii="方正仿宋简体" w:hAnsi="方正仿宋简体" w:eastAsia="方正仿宋简体" w:cs="方正仿宋简体"/>
                <w:b/>
                <w:bCs/>
                <w:kern w:val="2"/>
                <w:sz w:val="21"/>
                <w:szCs w:val="21"/>
              </w:rPr>
              <w:t>分；</w:t>
            </w:r>
          </w:p>
          <w:p>
            <w:pPr>
              <w:pStyle w:val="15"/>
              <w:keepNext w:val="0"/>
              <w:keepLines w:val="0"/>
              <w:widowControl/>
              <w:suppressLineNumbers w:val="0"/>
              <w:autoSpaceDE/>
              <w:autoSpaceDN/>
              <w:spacing w:before="15"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公益捐物价值</w:t>
            </w:r>
            <w:r>
              <w:rPr>
                <w:rFonts w:hint="default" w:ascii="Times New Roman" w:hAnsi="Times New Roman" w:eastAsia="方正仿宋简体" w:cs="Times New Roman"/>
                <w:b/>
                <w:bCs/>
                <w:kern w:val="2"/>
                <w:sz w:val="21"/>
                <w:szCs w:val="21"/>
              </w:rPr>
              <w:t>400</w:t>
            </w:r>
            <w:r>
              <w:rPr>
                <w:rFonts w:hint="eastAsia" w:ascii="Times New Roman" w:hAnsi="Times New Roman" w:eastAsia="方正仿宋简体" w:cs="Times New Roman"/>
                <w:b/>
                <w:bCs/>
                <w:kern w:val="2"/>
                <w:sz w:val="21"/>
                <w:szCs w:val="21"/>
              </w:rPr>
              <w:t>-</w:t>
            </w:r>
            <w:r>
              <w:rPr>
                <w:rFonts w:hint="default" w:ascii="Times New Roman" w:hAnsi="Times New Roman" w:eastAsia="方正仿宋简体" w:cs="Times New Roman"/>
                <w:b/>
                <w:bCs/>
                <w:kern w:val="2"/>
                <w:sz w:val="21"/>
                <w:szCs w:val="21"/>
              </w:rPr>
              <w:t>4000</w:t>
            </w:r>
            <w:r>
              <w:rPr>
                <w:rFonts w:hint="eastAsia" w:ascii="方正仿宋简体" w:hAnsi="方正仿宋简体" w:eastAsia="方正仿宋简体" w:cs="方正仿宋简体"/>
                <w:b/>
                <w:bCs/>
                <w:kern w:val="2"/>
                <w:sz w:val="21"/>
                <w:szCs w:val="21"/>
              </w:rPr>
              <w:t>元的，每</w:t>
            </w:r>
            <w:r>
              <w:rPr>
                <w:rFonts w:hint="default" w:ascii="Times New Roman" w:hAnsi="Times New Roman" w:eastAsia="方正仿宋简体" w:cs="Times New Roman"/>
                <w:b/>
                <w:bCs/>
                <w:kern w:val="2"/>
                <w:sz w:val="21"/>
                <w:szCs w:val="21"/>
              </w:rPr>
              <w:t>400</w:t>
            </w:r>
            <w:r>
              <w:rPr>
                <w:rFonts w:hint="eastAsia" w:ascii="方正仿宋简体" w:hAnsi="方正仿宋简体" w:eastAsia="方正仿宋简体" w:cs="方正仿宋简体"/>
                <w:b/>
                <w:bCs/>
                <w:kern w:val="2"/>
                <w:sz w:val="21"/>
                <w:szCs w:val="21"/>
              </w:rPr>
              <w:t>元加</w:t>
            </w:r>
            <w:r>
              <w:rPr>
                <w:rFonts w:hint="eastAsia" w:ascii="Times New Roman" w:hAnsi="Times New Roman" w:eastAsia="方正仿宋简体" w:cs="Times New Roman"/>
                <w:b/>
                <w:bCs/>
                <w:kern w:val="2"/>
                <w:sz w:val="21"/>
                <w:szCs w:val="21"/>
              </w:rPr>
              <w:t>0.5</w:t>
            </w:r>
            <w:r>
              <w:rPr>
                <w:rFonts w:hint="eastAsia" w:ascii="方正仿宋简体" w:hAnsi="方正仿宋简体" w:eastAsia="方正仿宋简体" w:cs="方正仿宋简体"/>
                <w:b/>
                <w:bCs/>
                <w:kern w:val="2"/>
                <w:sz w:val="21"/>
                <w:szCs w:val="21"/>
              </w:rPr>
              <w:t>分</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5</w:t>
            </w:r>
          </w:p>
        </w:tc>
        <w:tc>
          <w:tcPr>
            <w:tcW w:w="850" w:type="dxa"/>
            <w:vMerge w:val="restart"/>
            <w:vAlign w:val="center"/>
          </w:tcPr>
          <w:p>
            <w:pPr>
              <w:keepNext w:val="0"/>
              <w:keepLines w:val="0"/>
              <w:widowControl/>
              <w:suppressLineNumbers w:val="0"/>
              <w:spacing w:before="0" w:beforeAutospacing="0" w:after="0" w:afterAutospacing="0"/>
              <w:ind w:left="0" w:right="0"/>
              <w:jc w:val="center"/>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每年</w:t>
            </w:r>
          </w:p>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最多加</w:t>
            </w:r>
            <w:r>
              <w:rPr>
                <w:rFonts w:hint="eastAsia" w:ascii="Times New Roman" w:hAnsi="Times New Roman" w:eastAsia="方正仿宋简体" w:cs="Times New Roman"/>
                <w:b/>
                <w:bCs/>
                <w:szCs w:val="21"/>
              </w:rPr>
              <w:t>1</w:t>
            </w:r>
            <w:r>
              <w:rPr>
                <w:rFonts w:hint="default" w:ascii="Times New Roman" w:hAnsi="Times New Roman" w:eastAsia="方正仿宋简体" w:cs="Times New Roman"/>
                <w:b/>
                <w:bCs/>
                <w:szCs w:val="21"/>
              </w:rPr>
              <w:t>0</w:t>
            </w:r>
            <w:r>
              <w:rPr>
                <w:rFonts w:hint="eastAsia" w:ascii="方正仿宋简体" w:hAnsi="方正仿宋简体" w:eastAsia="方正仿宋简体" w:cs="方正仿宋简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widowControl/>
              <w:suppressLineNumbers w:val="0"/>
              <w:autoSpaceDE/>
              <w:autoSpaceDN/>
              <w:spacing w:before="15"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公益捐款</w:t>
            </w:r>
            <w:r>
              <w:rPr>
                <w:rFonts w:hint="default" w:ascii="Times New Roman" w:hAnsi="Times New Roman" w:eastAsia="方正仿宋简体" w:cs="Times New Roman"/>
                <w:b/>
                <w:bCs/>
                <w:kern w:val="2"/>
                <w:sz w:val="21"/>
                <w:szCs w:val="21"/>
              </w:rPr>
              <w:t>2001</w:t>
            </w:r>
            <w:r>
              <w:rPr>
                <w:rFonts w:hint="eastAsia" w:ascii="Times New Roman" w:hAnsi="Times New Roman" w:eastAsia="方正仿宋简体" w:cs="Times New Roman"/>
                <w:b/>
                <w:bCs/>
                <w:kern w:val="2"/>
                <w:sz w:val="21"/>
                <w:szCs w:val="21"/>
              </w:rPr>
              <w:t>-</w:t>
            </w:r>
            <w:r>
              <w:rPr>
                <w:rFonts w:hint="default" w:ascii="Times New Roman" w:hAnsi="Times New Roman" w:eastAsia="方正仿宋简体" w:cs="Times New Roman"/>
                <w:b/>
                <w:bCs/>
                <w:kern w:val="2"/>
                <w:sz w:val="21"/>
                <w:szCs w:val="21"/>
              </w:rPr>
              <w:t>10000</w:t>
            </w:r>
            <w:r>
              <w:rPr>
                <w:rFonts w:hint="eastAsia" w:ascii="方正仿宋简体" w:hAnsi="方正仿宋简体" w:eastAsia="方正仿宋简体" w:cs="方正仿宋简体"/>
                <w:b/>
                <w:bCs/>
                <w:kern w:val="2"/>
                <w:sz w:val="21"/>
                <w:szCs w:val="21"/>
              </w:rPr>
              <w:t>元的，每</w:t>
            </w:r>
            <w:r>
              <w:rPr>
                <w:rFonts w:hint="eastAsia" w:ascii="Times New Roman" w:hAnsi="Times New Roman" w:eastAsia="方正仿宋简体" w:cs="Times New Roman"/>
                <w:b/>
                <w:bCs/>
                <w:kern w:val="2"/>
                <w:sz w:val="21"/>
                <w:szCs w:val="21"/>
              </w:rPr>
              <w:t>10</w:t>
            </w:r>
            <w:r>
              <w:rPr>
                <w:rFonts w:hint="default" w:ascii="Times New Roman" w:hAnsi="Times New Roman" w:eastAsia="方正仿宋简体" w:cs="Times New Roman"/>
                <w:b/>
                <w:bCs/>
                <w:kern w:val="2"/>
                <w:sz w:val="21"/>
                <w:szCs w:val="21"/>
              </w:rPr>
              <w:t>00</w:t>
            </w:r>
            <w:r>
              <w:rPr>
                <w:rFonts w:hint="eastAsia" w:ascii="方正仿宋简体" w:hAnsi="方正仿宋简体" w:eastAsia="方正仿宋简体" w:cs="方正仿宋简体"/>
                <w:b/>
                <w:bCs/>
                <w:kern w:val="2"/>
                <w:sz w:val="21"/>
                <w:szCs w:val="21"/>
              </w:rPr>
              <w:t>元加</w:t>
            </w:r>
            <w:r>
              <w:rPr>
                <w:rFonts w:hint="eastAsia" w:ascii="Times New Roman" w:hAnsi="Times New Roman" w:eastAsia="方正仿宋简体" w:cs="Times New Roman"/>
                <w:b/>
                <w:bCs/>
                <w:kern w:val="2"/>
                <w:sz w:val="21"/>
                <w:szCs w:val="21"/>
              </w:rPr>
              <w:t>0.25</w:t>
            </w:r>
            <w:r>
              <w:rPr>
                <w:rFonts w:hint="eastAsia" w:ascii="方正仿宋简体" w:hAnsi="方正仿宋简体" w:eastAsia="方正仿宋简体" w:cs="方正仿宋简体"/>
                <w:b/>
                <w:bCs/>
                <w:kern w:val="2"/>
                <w:sz w:val="21"/>
                <w:szCs w:val="21"/>
              </w:rPr>
              <w:t>分；</w:t>
            </w:r>
          </w:p>
          <w:p>
            <w:pPr>
              <w:pStyle w:val="15"/>
              <w:keepNext w:val="0"/>
              <w:keepLines w:val="0"/>
              <w:widowControl/>
              <w:suppressLineNumbers w:val="0"/>
              <w:tabs>
                <w:tab w:val="right" w:pos="6163"/>
              </w:tabs>
              <w:autoSpaceDE/>
              <w:autoSpaceDN/>
              <w:spacing w:before="15"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公益捐物价值</w:t>
            </w:r>
            <w:r>
              <w:rPr>
                <w:rFonts w:hint="default" w:ascii="Times New Roman" w:hAnsi="Times New Roman" w:eastAsia="方正仿宋简体" w:cs="Times New Roman"/>
                <w:b/>
                <w:bCs/>
                <w:kern w:val="2"/>
                <w:sz w:val="21"/>
                <w:szCs w:val="21"/>
              </w:rPr>
              <w:t>4001</w:t>
            </w:r>
            <w:r>
              <w:rPr>
                <w:rFonts w:hint="eastAsia" w:ascii="Times New Roman" w:hAnsi="Times New Roman" w:eastAsia="方正仿宋简体" w:cs="Times New Roman"/>
                <w:b/>
                <w:bCs/>
                <w:kern w:val="2"/>
                <w:sz w:val="21"/>
                <w:szCs w:val="21"/>
              </w:rPr>
              <w:t>-</w:t>
            </w:r>
            <w:r>
              <w:rPr>
                <w:rFonts w:hint="default" w:ascii="Times New Roman" w:hAnsi="Times New Roman" w:eastAsia="方正仿宋简体" w:cs="Times New Roman"/>
                <w:b/>
                <w:bCs/>
                <w:kern w:val="2"/>
                <w:sz w:val="21"/>
                <w:szCs w:val="21"/>
              </w:rPr>
              <w:t>20000</w:t>
            </w:r>
            <w:r>
              <w:rPr>
                <w:rFonts w:hint="eastAsia" w:ascii="方正仿宋简体" w:hAnsi="方正仿宋简体" w:eastAsia="方正仿宋简体" w:cs="方正仿宋简体"/>
                <w:b/>
                <w:bCs/>
                <w:kern w:val="2"/>
                <w:sz w:val="21"/>
                <w:szCs w:val="21"/>
              </w:rPr>
              <w:t>元的，每</w:t>
            </w:r>
            <w:r>
              <w:rPr>
                <w:rFonts w:hint="eastAsia" w:ascii="Times New Roman" w:hAnsi="Times New Roman" w:eastAsia="方正仿宋简体" w:cs="Times New Roman"/>
                <w:b/>
                <w:bCs/>
                <w:kern w:val="2"/>
                <w:sz w:val="21"/>
                <w:szCs w:val="21"/>
              </w:rPr>
              <w:t>20</w:t>
            </w:r>
            <w:r>
              <w:rPr>
                <w:rFonts w:hint="default" w:ascii="Times New Roman" w:hAnsi="Times New Roman" w:eastAsia="方正仿宋简体" w:cs="Times New Roman"/>
                <w:b/>
                <w:bCs/>
                <w:kern w:val="2"/>
                <w:sz w:val="21"/>
                <w:szCs w:val="21"/>
              </w:rPr>
              <w:t>00</w:t>
            </w:r>
            <w:r>
              <w:rPr>
                <w:rFonts w:hint="eastAsia" w:ascii="方正仿宋简体" w:hAnsi="方正仿宋简体" w:eastAsia="方正仿宋简体" w:cs="方正仿宋简体"/>
                <w:b/>
                <w:bCs/>
                <w:kern w:val="2"/>
                <w:sz w:val="21"/>
                <w:szCs w:val="21"/>
              </w:rPr>
              <w:t>元加</w:t>
            </w:r>
            <w:r>
              <w:rPr>
                <w:rFonts w:hint="eastAsia" w:ascii="Times New Roman" w:hAnsi="Times New Roman" w:eastAsia="方正仿宋简体" w:cs="Times New Roman"/>
                <w:b/>
                <w:bCs/>
                <w:kern w:val="2"/>
                <w:sz w:val="21"/>
                <w:szCs w:val="21"/>
              </w:rPr>
              <w:t>0.25</w:t>
            </w:r>
            <w:r>
              <w:rPr>
                <w:rFonts w:hint="eastAsia" w:ascii="方正仿宋简体" w:hAnsi="方正仿宋简体" w:eastAsia="方正仿宋简体" w:cs="方正仿宋简体"/>
                <w:b/>
                <w:bCs/>
                <w:kern w:val="2"/>
                <w:sz w:val="21"/>
                <w:szCs w:val="21"/>
              </w:rPr>
              <w:t>分</w:t>
            </w:r>
            <w:r>
              <w:rPr>
                <w:rFonts w:hint="eastAsia" w:ascii="方正仿宋简体" w:hAnsi="方正仿宋简体" w:eastAsia="方正仿宋简体" w:cs="方正仿宋简体"/>
                <w:b/>
                <w:bCs/>
                <w:kern w:val="2"/>
                <w:sz w:val="21"/>
                <w:szCs w:val="21"/>
              </w:rPr>
              <w:tab/>
            </w:r>
          </w:p>
          <w:p>
            <w:pPr>
              <w:pStyle w:val="15"/>
              <w:keepNext w:val="0"/>
              <w:keepLines w:val="0"/>
              <w:widowControl/>
              <w:suppressLineNumbers w:val="0"/>
              <w:tabs>
                <w:tab w:val="right" w:pos="6163"/>
              </w:tabs>
              <w:autoSpaceDE/>
              <w:autoSpaceDN/>
              <w:spacing w:before="15" w:beforeAutospacing="0" w:after="0" w:afterAutospacing="0"/>
              <w:ind w:left="0" w:right="0"/>
              <w:jc w:val="both"/>
              <w:rPr>
                <w:rFonts w:hint="default" w:ascii="方正仿宋简体" w:hAnsi="方正仿宋简体" w:eastAsia="方正仿宋简体" w:cs="方正仿宋简体"/>
                <w:b/>
                <w:bCs/>
                <w:kern w:val="2"/>
                <w:sz w:val="21"/>
                <w:szCs w:val="21"/>
              </w:rPr>
            </w:pP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5至+7</w:t>
            </w:r>
          </w:p>
        </w:tc>
        <w:tc>
          <w:tcPr>
            <w:tcW w:w="850"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widowControl/>
              <w:suppressLineNumbers w:val="0"/>
              <w:autoSpaceDE/>
              <w:autoSpaceDN/>
              <w:spacing w:before="15"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公益捐款</w:t>
            </w:r>
            <w:r>
              <w:rPr>
                <w:rFonts w:hint="default" w:ascii="Times New Roman" w:hAnsi="Times New Roman" w:eastAsia="方正仿宋简体" w:cs="Times New Roman"/>
                <w:b/>
                <w:bCs/>
                <w:kern w:val="2"/>
                <w:sz w:val="21"/>
                <w:szCs w:val="21"/>
              </w:rPr>
              <w:t>10001</w:t>
            </w:r>
            <w:r>
              <w:rPr>
                <w:rFonts w:hint="eastAsia" w:ascii="Times New Roman" w:hAnsi="Times New Roman" w:eastAsia="方正仿宋简体" w:cs="Times New Roman"/>
                <w:b/>
                <w:bCs/>
                <w:kern w:val="2"/>
                <w:sz w:val="21"/>
                <w:szCs w:val="21"/>
              </w:rPr>
              <w:t>-</w:t>
            </w:r>
            <w:r>
              <w:rPr>
                <w:rFonts w:hint="default" w:ascii="Times New Roman" w:hAnsi="Times New Roman" w:eastAsia="方正仿宋简体" w:cs="Times New Roman"/>
                <w:b/>
                <w:bCs/>
                <w:kern w:val="2"/>
                <w:sz w:val="21"/>
                <w:szCs w:val="21"/>
              </w:rPr>
              <w:t>20000</w:t>
            </w:r>
            <w:r>
              <w:rPr>
                <w:rFonts w:hint="eastAsia" w:ascii="方正仿宋简体" w:hAnsi="方正仿宋简体" w:eastAsia="方正仿宋简体" w:cs="方正仿宋简体"/>
                <w:b/>
                <w:bCs/>
                <w:kern w:val="2"/>
                <w:sz w:val="21"/>
                <w:szCs w:val="21"/>
              </w:rPr>
              <w:t>元的，每</w:t>
            </w:r>
            <w:r>
              <w:rPr>
                <w:rFonts w:hint="default" w:ascii="Times New Roman" w:hAnsi="Times New Roman" w:eastAsia="方正仿宋简体" w:cs="Times New Roman"/>
                <w:b/>
                <w:bCs/>
                <w:kern w:val="2"/>
                <w:sz w:val="21"/>
                <w:szCs w:val="21"/>
              </w:rPr>
              <w:t>1000</w:t>
            </w:r>
            <w:r>
              <w:rPr>
                <w:rFonts w:hint="eastAsia" w:ascii="方正仿宋简体" w:hAnsi="方正仿宋简体" w:eastAsia="方正仿宋简体" w:cs="方正仿宋简体"/>
                <w:b/>
                <w:bCs/>
                <w:kern w:val="2"/>
                <w:sz w:val="21"/>
                <w:szCs w:val="21"/>
              </w:rPr>
              <w:t>元加</w:t>
            </w:r>
            <w:r>
              <w:rPr>
                <w:rFonts w:hint="eastAsia" w:ascii="Times New Roman" w:hAnsi="Times New Roman" w:eastAsia="方正仿宋简体" w:cs="Times New Roman"/>
                <w:b/>
                <w:bCs/>
                <w:kern w:val="2"/>
                <w:sz w:val="21"/>
                <w:szCs w:val="21"/>
              </w:rPr>
              <w:t>0.</w:t>
            </w:r>
            <w:r>
              <w:rPr>
                <w:rFonts w:hint="default" w:ascii="Times New Roman" w:hAnsi="Times New Roman" w:eastAsia="方正仿宋简体" w:cs="Times New Roman"/>
                <w:b/>
                <w:bCs/>
                <w:kern w:val="2"/>
                <w:sz w:val="21"/>
                <w:szCs w:val="21"/>
              </w:rPr>
              <w:t>1</w:t>
            </w:r>
            <w:r>
              <w:rPr>
                <w:rFonts w:hint="eastAsia" w:ascii="方正仿宋简体" w:hAnsi="方正仿宋简体" w:eastAsia="方正仿宋简体" w:cs="方正仿宋简体"/>
                <w:b/>
                <w:bCs/>
                <w:kern w:val="2"/>
                <w:sz w:val="21"/>
                <w:szCs w:val="21"/>
              </w:rPr>
              <w:t>分</w:t>
            </w:r>
          </w:p>
          <w:p>
            <w:pPr>
              <w:pStyle w:val="15"/>
              <w:keepNext w:val="0"/>
              <w:keepLines w:val="0"/>
              <w:widowControl/>
              <w:suppressLineNumbers w:val="0"/>
              <w:autoSpaceDE/>
              <w:autoSpaceDN/>
              <w:spacing w:before="15"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公益捐物价值</w:t>
            </w:r>
            <w:r>
              <w:rPr>
                <w:rFonts w:hint="default" w:ascii="Times New Roman" w:hAnsi="Times New Roman" w:eastAsia="方正仿宋简体" w:cs="Times New Roman"/>
                <w:b/>
                <w:bCs/>
                <w:kern w:val="2"/>
                <w:sz w:val="21"/>
                <w:szCs w:val="21"/>
              </w:rPr>
              <w:t>20001</w:t>
            </w:r>
            <w:r>
              <w:rPr>
                <w:rFonts w:hint="eastAsia" w:ascii="Times New Roman" w:hAnsi="Times New Roman" w:eastAsia="方正仿宋简体" w:cs="Times New Roman"/>
                <w:b/>
                <w:bCs/>
                <w:kern w:val="2"/>
                <w:sz w:val="21"/>
                <w:szCs w:val="21"/>
              </w:rPr>
              <w:t>-</w:t>
            </w:r>
            <w:r>
              <w:rPr>
                <w:rFonts w:hint="default" w:ascii="Times New Roman" w:hAnsi="Times New Roman" w:eastAsia="方正仿宋简体" w:cs="Times New Roman"/>
                <w:b/>
                <w:bCs/>
                <w:kern w:val="2"/>
                <w:sz w:val="21"/>
                <w:szCs w:val="21"/>
              </w:rPr>
              <w:t>40000</w:t>
            </w:r>
            <w:r>
              <w:rPr>
                <w:rFonts w:hint="eastAsia" w:ascii="方正仿宋简体" w:hAnsi="方正仿宋简体" w:eastAsia="方正仿宋简体" w:cs="方正仿宋简体"/>
                <w:b/>
                <w:bCs/>
                <w:kern w:val="2"/>
                <w:sz w:val="21"/>
                <w:szCs w:val="21"/>
              </w:rPr>
              <w:t>元的，每</w:t>
            </w:r>
            <w:r>
              <w:rPr>
                <w:rFonts w:hint="default" w:ascii="Times New Roman" w:hAnsi="Times New Roman" w:eastAsia="方正仿宋简体" w:cs="Times New Roman"/>
                <w:b/>
                <w:bCs/>
                <w:kern w:val="2"/>
                <w:sz w:val="21"/>
                <w:szCs w:val="21"/>
              </w:rPr>
              <w:t>2000</w:t>
            </w:r>
            <w:r>
              <w:rPr>
                <w:rFonts w:hint="eastAsia" w:ascii="方正仿宋简体" w:hAnsi="方正仿宋简体" w:eastAsia="方正仿宋简体" w:cs="方正仿宋简体"/>
                <w:b/>
                <w:bCs/>
                <w:kern w:val="2"/>
                <w:sz w:val="21"/>
                <w:szCs w:val="21"/>
              </w:rPr>
              <w:t>元加</w:t>
            </w:r>
            <w:r>
              <w:rPr>
                <w:rFonts w:hint="eastAsia" w:ascii="Times New Roman" w:hAnsi="Times New Roman" w:eastAsia="方正仿宋简体" w:cs="Times New Roman"/>
                <w:b/>
                <w:bCs/>
                <w:kern w:val="2"/>
                <w:sz w:val="21"/>
                <w:szCs w:val="21"/>
              </w:rPr>
              <w:t>0.</w:t>
            </w:r>
            <w:r>
              <w:rPr>
                <w:rFonts w:hint="default" w:ascii="Times New Roman" w:hAnsi="Times New Roman" w:eastAsia="方正仿宋简体" w:cs="Times New Roman"/>
                <w:b/>
                <w:bCs/>
                <w:kern w:val="2"/>
                <w:sz w:val="21"/>
                <w:szCs w:val="21"/>
              </w:rPr>
              <w:t>1</w:t>
            </w:r>
            <w:r>
              <w:rPr>
                <w:rFonts w:hint="eastAsia" w:ascii="方正仿宋简体" w:hAnsi="方正仿宋简体" w:eastAsia="方正仿宋简体" w:cs="方正仿宋简体"/>
                <w:b/>
                <w:bCs/>
                <w:kern w:val="2"/>
                <w:sz w:val="21"/>
                <w:szCs w:val="21"/>
              </w:rPr>
              <w:t>分</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7至+8</w:t>
            </w:r>
          </w:p>
        </w:tc>
        <w:tc>
          <w:tcPr>
            <w:tcW w:w="850"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widowControl/>
              <w:suppressLineNumbers w:val="0"/>
              <w:autoSpaceDE/>
              <w:autoSpaceDN/>
              <w:spacing w:before="15"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公益捐款</w:t>
            </w:r>
            <w:r>
              <w:rPr>
                <w:rFonts w:hint="default" w:ascii="Times New Roman" w:hAnsi="Times New Roman" w:eastAsia="方正仿宋简体" w:cs="Times New Roman"/>
                <w:b/>
                <w:bCs/>
                <w:kern w:val="2"/>
                <w:sz w:val="21"/>
                <w:szCs w:val="21"/>
              </w:rPr>
              <w:t>2</w:t>
            </w:r>
            <w:r>
              <w:rPr>
                <w:rFonts w:hint="eastAsia" w:ascii="方正仿宋简体" w:hAnsi="方正仿宋简体" w:eastAsia="方正仿宋简体" w:cs="方正仿宋简体"/>
                <w:b/>
                <w:bCs/>
                <w:kern w:val="2"/>
                <w:sz w:val="21"/>
                <w:szCs w:val="21"/>
              </w:rPr>
              <w:t>万元以上的，每</w:t>
            </w:r>
            <w:r>
              <w:rPr>
                <w:rFonts w:hint="default" w:ascii="Times New Roman" w:hAnsi="Times New Roman" w:eastAsia="方正仿宋简体" w:cs="Times New Roman"/>
                <w:b/>
                <w:bCs/>
                <w:kern w:val="2"/>
                <w:sz w:val="21"/>
                <w:szCs w:val="21"/>
              </w:rPr>
              <w:t>2000</w:t>
            </w:r>
            <w:r>
              <w:rPr>
                <w:rFonts w:hint="eastAsia" w:ascii="方正仿宋简体" w:hAnsi="方正仿宋简体" w:eastAsia="方正仿宋简体" w:cs="方正仿宋简体"/>
                <w:b/>
                <w:bCs/>
                <w:kern w:val="2"/>
                <w:sz w:val="21"/>
                <w:szCs w:val="21"/>
              </w:rPr>
              <w:t>元加</w:t>
            </w:r>
            <w:r>
              <w:rPr>
                <w:rFonts w:hint="default" w:ascii="Times New Roman" w:hAnsi="Times New Roman" w:eastAsia="方正仿宋简体" w:cs="Times New Roman"/>
                <w:b/>
                <w:bCs/>
                <w:kern w:val="2"/>
                <w:sz w:val="21"/>
                <w:szCs w:val="21"/>
              </w:rPr>
              <w:t>1</w:t>
            </w:r>
            <w:r>
              <w:rPr>
                <w:rFonts w:hint="eastAsia" w:ascii="方正仿宋简体" w:hAnsi="方正仿宋简体" w:eastAsia="方正仿宋简体" w:cs="方正仿宋简体"/>
                <w:b/>
                <w:bCs/>
                <w:kern w:val="2"/>
                <w:sz w:val="21"/>
                <w:szCs w:val="21"/>
              </w:rPr>
              <w:t>分；</w:t>
            </w:r>
          </w:p>
          <w:p>
            <w:pPr>
              <w:pStyle w:val="15"/>
              <w:keepNext w:val="0"/>
              <w:keepLines w:val="0"/>
              <w:widowControl/>
              <w:suppressLineNumbers w:val="0"/>
              <w:autoSpaceDE/>
              <w:autoSpaceDN/>
              <w:spacing w:before="15"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公益捐物价值</w:t>
            </w:r>
            <w:r>
              <w:rPr>
                <w:rFonts w:hint="default" w:ascii="Times New Roman" w:hAnsi="Times New Roman" w:eastAsia="方正仿宋简体" w:cs="Times New Roman"/>
                <w:b/>
                <w:bCs/>
                <w:kern w:val="2"/>
                <w:sz w:val="21"/>
                <w:szCs w:val="21"/>
              </w:rPr>
              <w:t>4</w:t>
            </w:r>
            <w:r>
              <w:rPr>
                <w:rFonts w:hint="eastAsia" w:ascii="方正仿宋简体" w:hAnsi="方正仿宋简体" w:eastAsia="方正仿宋简体" w:cs="方正仿宋简体"/>
                <w:b/>
                <w:bCs/>
                <w:kern w:val="2"/>
                <w:sz w:val="21"/>
                <w:szCs w:val="21"/>
              </w:rPr>
              <w:t>万元以上的，每</w:t>
            </w:r>
            <w:r>
              <w:rPr>
                <w:rFonts w:hint="default" w:ascii="Times New Roman" w:hAnsi="Times New Roman" w:eastAsia="方正仿宋简体" w:cs="Times New Roman"/>
                <w:b/>
                <w:bCs/>
                <w:kern w:val="2"/>
                <w:sz w:val="21"/>
                <w:szCs w:val="21"/>
              </w:rPr>
              <w:t>4000</w:t>
            </w:r>
            <w:r>
              <w:rPr>
                <w:rFonts w:hint="eastAsia" w:ascii="方正仿宋简体" w:hAnsi="方正仿宋简体" w:eastAsia="方正仿宋简体" w:cs="方正仿宋简体"/>
                <w:b/>
                <w:bCs/>
                <w:kern w:val="2"/>
                <w:sz w:val="21"/>
                <w:szCs w:val="21"/>
              </w:rPr>
              <w:t>元加</w:t>
            </w:r>
            <w:r>
              <w:rPr>
                <w:rFonts w:hint="default" w:ascii="Times New Roman" w:hAnsi="Times New Roman" w:eastAsia="方正仿宋简体" w:cs="Times New Roman"/>
                <w:b/>
                <w:bCs/>
                <w:kern w:val="2"/>
                <w:sz w:val="21"/>
                <w:szCs w:val="21"/>
              </w:rPr>
              <w:t>1</w:t>
            </w:r>
            <w:r>
              <w:rPr>
                <w:rFonts w:hint="eastAsia" w:ascii="方正仿宋简体" w:hAnsi="方正仿宋简体" w:eastAsia="方正仿宋简体" w:cs="方正仿宋简体"/>
                <w:b/>
                <w:bCs/>
                <w:kern w:val="2"/>
                <w:sz w:val="21"/>
                <w:szCs w:val="21"/>
              </w:rPr>
              <w:t>分</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8至+10</w:t>
            </w:r>
          </w:p>
        </w:tc>
        <w:tc>
          <w:tcPr>
            <w:tcW w:w="850"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restart"/>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表彰</w:t>
            </w:r>
          </w:p>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奖励</w:t>
            </w: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单位受到镇街党（工）委、政府（办事处）及县市级部门表彰的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eastAsia" w:ascii="Times New Roman" w:hAnsi="Times New Roman" w:eastAsia="方正仿宋简体" w:cs="Times New Roman"/>
                <w:b/>
                <w:bCs/>
                <w:kern w:val="2"/>
                <w:sz w:val="21"/>
                <w:szCs w:val="21"/>
              </w:rPr>
              <w:t>+1</w:t>
            </w:r>
          </w:p>
        </w:tc>
        <w:tc>
          <w:tcPr>
            <w:tcW w:w="850" w:type="dxa"/>
            <w:vMerge w:val="restart"/>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最高加</w:t>
            </w:r>
            <w:r>
              <w:rPr>
                <w:rFonts w:hint="eastAsia" w:ascii="Times New Roman" w:hAnsi="Times New Roman" w:eastAsia="方正仿宋简体" w:cs="Times New Roman"/>
                <w:b/>
                <w:bCs/>
                <w:szCs w:val="21"/>
              </w:rPr>
              <w:t>20</w:t>
            </w:r>
            <w:r>
              <w:rPr>
                <w:rFonts w:hint="eastAsia" w:ascii="方正仿宋简体" w:hAnsi="方正仿宋简体" w:eastAsia="方正仿宋简体" w:cs="方正仿宋简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单位受到县市级党委、政府及地市级部门表彰的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+2</w:t>
            </w:r>
          </w:p>
        </w:tc>
        <w:tc>
          <w:tcPr>
            <w:tcW w:w="850"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683" w:type="dxa"/>
            <w:vMerge w:val="continue"/>
            <w:vAlign w:val="center"/>
          </w:tcPr>
          <w:p>
            <w:pPr>
              <w:keepNext w:val="0"/>
              <w:keepLines w:val="0"/>
              <w:widowControl/>
              <w:suppressLineNumbers w:val="0"/>
              <w:spacing w:before="0" w:beforeAutospacing="0" w:after="0" w:afterAutospacing="0"/>
              <w:ind w:left="0" w:right="0"/>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单位受到地级市委、市政府及省部级部门表彰的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5</w:t>
            </w:r>
          </w:p>
        </w:tc>
        <w:tc>
          <w:tcPr>
            <w:tcW w:w="850"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单位受到省委、省政府及国家部委表彰的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10</w:t>
            </w:r>
          </w:p>
        </w:tc>
        <w:tc>
          <w:tcPr>
            <w:tcW w:w="850"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单位受到国家级表彰的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20</w:t>
            </w:r>
          </w:p>
        </w:tc>
        <w:tc>
          <w:tcPr>
            <w:tcW w:w="850"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单位主要负责人受到镇街党（工）委、政府（办事处）及县市级部门表彰的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eastAsia" w:ascii="Times New Roman" w:hAnsi="Times New Roman" w:eastAsia="方正仿宋简体" w:cs="Times New Roman"/>
                <w:b/>
                <w:bCs/>
                <w:kern w:val="2"/>
                <w:sz w:val="21"/>
                <w:szCs w:val="21"/>
              </w:rPr>
              <w:t>+1</w:t>
            </w:r>
          </w:p>
        </w:tc>
        <w:tc>
          <w:tcPr>
            <w:tcW w:w="850" w:type="dxa"/>
            <w:vMerge w:val="restart"/>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最高加</w:t>
            </w:r>
            <w:r>
              <w:rPr>
                <w:rFonts w:hint="eastAsia" w:ascii="Times New Roman" w:hAnsi="Times New Roman" w:eastAsia="方正仿宋简体" w:cs="Times New Roman"/>
                <w:b/>
                <w:bCs/>
                <w:szCs w:val="21"/>
              </w:rPr>
              <w:t>20</w:t>
            </w:r>
            <w:r>
              <w:rPr>
                <w:rFonts w:hint="eastAsia" w:ascii="方正仿宋简体" w:hAnsi="方正仿宋简体" w:eastAsia="方正仿宋简体" w:cs="方正仿宋简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单位主要负责人受到县市级党委、政府及地市级部门表彰的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+2</w:t>
            </w:r>
          </w:p>
        </w:tc>
        <w:tc>
          <w:tcPr>
            <w:tcW w:w="850"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单位主要负责人受到地级市委、市政府及省部级部门表彰的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5</w:t>
            </w:r>
          </w:p>
        </w:tc>
        <w:tc>
          <w:tcPr>
            <w:tcW w:w="850"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683" w:type="dxa"/>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黑体简体" w:hAnsi="方正黑体简体" w:eastAsia="方正黑体简体" w:cs="方正黑体简体"/>
                <w:b/>
                <w:bCs/>
                <w:szCs w:val="21"/>
              </w:rPr>
              <w:t>信息属性</w:t>
            </w:r>
          </w:p>
        </w:tc>
        <w:tc>
          <w:tcPr>
            <w:tcW w:w="876" w:type="dxa"/>
            <w:vAlign w:val="center"/>
          </w:tcPr>
          <w:p>
            <w:pPr>
              <w:keepNext w:val="0"/>
              <w:keepLines w:val="0"/>
              <w:widowControl/>
              <w:suppressLineNumbers w:val="0"/>
              <w:spacing w:before="0" w:beforeAutospacing="0" w:after="0" w:afterAutospacing="0"/>
              <w:ind w:left="0" w:right="0"/>
              <w:jc w:val="center"/>
              <w:rPr>
                <w:rFonts w:hint="default" w:ascii="方正黑体简体" w:hAnsi="方正黑体简体" w:eastAsia="方正黑体简体" w:cs="方正黑体简体"/>
                <w:b/>
                <w:bCs/>
                <w:szCs w:val="21"/>
              </w:rPr>
            </w:pPr>
            <w:r>
              <w:rPr>
                <w:rFonts w:hint="eastAsia" w:ascii="方正黑体简体" w:hAnsi="方正黑体简体" w:eastAsia="方正黑体简体" w:cs="方正黑体简体"/>
                <w:b/>
                <w:bCs/>
                <w:szCs w:val="21"/>
              </w:rPr>
              <w:t>信息</w:t>
            </w:r>
          </w:p>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黑体简体" w:hAnsi="方正黑体简体" w:eastAsia="方正黑体简体" w:cs="方正黑体简体"/>
                <w:b/>
                <w:bCs/>
                <w:szCs w:val="21"/>
              </w:rPr>
              <w:t>类别</w:t>
            </w:r>
          </w:p>
        </w:tc>
        <w:tc>
          <w:tcPr>
            <w:tcW w:w="6096" w:type="dxa"/>
            <w:vAlign w:val="center"/>
          </w:tcPr>
          <w:p>
            <w:pPr>
              <w:pStyle w:val="15"/>
              <w:keepNext w:val="0"/>
              <w:keepLines w:val="0"/>
              <w:widowControl/>
              <w:suppressLineNumbers w:val="0"/>
              <w:autoSpaceDN/>
              <w:spacing w:before="63" w:beforeAutospacing="0" w:after="0" w:afterAutospacing="0"/>
              <w:ind w:left="0" w:right="0"/>
              <w:jc w:val="center"/>
              <w:rPr>
                <w:rFonts w:hint="default" w:ascii="方正仿宋简体" w:hAnsi="方正仿宋简体" w:eastAsia="方正仿宋简体" w:cs="方正仿宋简体"/>
                <w:b/>
                <w:bCs/>
                <w:kern w:val="2"/>
                <w:sz w:val="21"/>
                <w:szCs w:val="21"/>
              </w:rPr>
            </w:pPr>
            <w:r>
              <w:rPr>
                <w:rFonts w:hint="eastAsia" w:ascii="方正黑体简体" w:hAnsi="方正黑体简体" w:eastAsia="方正黑体简体" w:cs="方正黑体简体"/>
                <w:b/>
                <w:bCs/>
                <w:sz w:val="21"/>
                <w:szCs w:val="21"/>
              </w:rPr>
              <w:t>评  价  指  标</w:t>
            </w:r>
          </w:p>
        </w:tc>
        <w:tc>
          <w:tcPr>
            <w:tcW w:w="1276" w:type="dxa"/>
            <w:vAlign w:val="center"/>
          </w:tcPr>
          <w:p>
            <w:pPr>
              <w:pStyle w:val="15"/>
              <w:keepNext w:val="0"/>
              <w:keepLines w:val="0"/>
              <w:widowControl/>
              <w:suppressLineNumbers w:val="0"/>
              <w:autoSpaceDN/>
              <w:spacing w:before="63" w:beforeAutospacing="0" w:after="0" w:afterAutospacing="0"/>
              <w:ind w:left="0" w:right="0"/>
              <w:jc w:val="center"/>
              <w:rPr>
                <w:rFonts w:hint="default" w:ascii="方正仿宋简体" w:hAnsi="方正仿宋简体" w:eastAsia="方正仿宋简体" w:cs="方正仿宋简体"/>
                <w:b/>
                <w:bCs/>
                <w:kern w:val="2"/>
                <w:sz w:val="21"/>
                <w:szCs w:val="21"/>
              </w:rPr>
            </w:pPr>
            <w:r>
              <w:rPr>
                <w:rFonts w:hint="eastAsia" w:ascii="方正黑体简体" w:hAnsi="方正黑体简体" w:eastAsia="方正黑体简体" w:cs="方正黑体简体"/>
                <w:b/>
                <w:bCs/>
                <w:sz w:val="21"/>
                <w:szCs w:val="21"/>
              </w:rPr>
              <w:t>赋分</w:t>
            </w:r>
          </w:p>
        </w:tc>
        <w:tc>
          <w:tcPr>
            <w:tcW w:w="850" w:type="dxa"/>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黑体简体" w:hAnsi="方正黑体简体" w:eastAsia="方正黑体简体" w:cs="方正黑体简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683" w:type="dxa"/>
            <w:vMerge w:val="restart"/>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守信信息</w:t>
            </w:r>
          </w:p>
        </w:tc>
        <w:tc>
          <w:tcPr>
            <w:tcW w:w="876" w:type="dxa"/>
            <w:vMerge w:val="restart"/>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表彰</w:t>
            </w:r>
          </w:p>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奖励</w:t>
            </w: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单位主要负责人受到省委、省政府及国家部委表彰的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10</w:t>
            </w:r>
          </w:p>
        </w:tc>
        <w:tc>
          <w:tcPr>
            <w:tcW w:w="850" w:type="dxa"/>
            <w:vMerge w:val="restart"/>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最高加</w:t>
            </w:r>
            <w:r>
              <w:rPr>
                <w:rFonts w:hint="default" w:ascii="Times New Roman" w:hAnsi="Times New Roman" w:eastAsia="方正仿宋简体" w:cs="Times New Roman"/>
                <w:b/>
                <w:bCs/>
                <w:szCs w:val="21"/>
              </w:rPr>
              <w:t>20</w:t>
            </w:r>
            <w:r>
              <w:rPr>
                <w:rFonts w:hint="eastAsia" w:ascii="Times New Roman" w:hAnsi="Times New Roman" w:eastAsia="方正仿宋简体" w:cs="Times New Roman"/>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单位主要负责人受到国家级表彰的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20</w:t>
            </w:r>
          </w:p>
        </w:tc>
        <w:tc>
          <w:tcPr>
            <w:tcW w:w="850"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restart"/>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通报</w:t>
            </w:r>
          </w:p>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表扬</w:t>
            </w: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单位受到镇街党（工）委、政府（办事处）及县市级部门表扬的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0.5</w:t>
            </w:r>
          </w:p>
        </w:tc>
        <w:tc>
          <w:tcPr>
            <w:tcW w:w="850" w:type="dxa"/>
            <w:vMerge w:val="restart"/>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最高加</w:t>
            </w:r>
            <w:r>
              <w:rPr>
                <w:rFonts w:hint="default" w:ascii="Times New Roman" w:hAnsi="Times New Roman" w:eastAsia="方正仿宋简体" w:cs="Times New Roman"/>
                <w:b/>
                <w:bCs/>
                <w:szCs w:val="21"/>
              </w:rPr>
              <w:t>10</w:t>
            </w:r>
            <w:r>
              <w:rPr>
                <w:rFonts w:hint="eastAsia" w:ascii="方正仿宋简体" w:hAnsi="方正仿宋简体" w:eastAsia="方正仿宋简体" w:cs="方正仿宋简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单位受到县市级党委、政府及地市级部门表扬的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+1</w:t>
            </w:r>
          </w:p>
        </w:tc>
        <w:tc>
          <w:tcPr>
            <w:tcW w:w="850"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单位受到地级市委、市政府及省部级部门表扬的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+2</w:t>
            </w:r>
          </w:p>
        </w:tc>
        <w:tc>
          <w:tcPr>
            <w:tcW w:w="850"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单位受到省部级通报表扬的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+5</w:t>
            </w:r>
          </w:p>
        </w:tc>
        <w:tc>
          <w:tcPr>
            <w:tcW w:w="850"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单位受到国家级通报表扬的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10</w:t>
            </w:r>
          </w:p>
        </w:tc>
        <w:tc>
          <w:tcPr>
            <w:tcW w:w="850"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单位主要负责人受到镇街党（工）委、政府（办事处）及县市级部门表扬的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0.5</w:t>
            </w:r>
          </w:p>
        </w:tc>
        <w:tc>
          <w:tcPr>
            <w:tcW w:w="850" w:type="dxa"/>
            <w:vMerge w:val="restart"/>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最高加</w:t>
            </w:r>
            <w:r>
              <w:rPr>
                <w:rFonts w:hint="default" w:ascii="Times New Roman" w:hAnsi="Times New Roman" w:eastAsia="方正仿宋简体" w:cs="Times New Roman"/>
                <w:b/>
                <w:bCs/>
                <w:szCs w:val="21"/>
              </w:rPr>
              <w:t>10</w:t>
            </w:r>
            <w:r>
              <w:rPr>
                <w:rFonts w:hint="eastAsia" w:ascii="方正仿宋简体" w:hAnsi="方正仿宋简体" w:eastAsia="方正仿宋简体" w:cs="方正仿宋简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单位主要负责人受到县市级党委、政府及地市级部门表扬的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+1</w:t>
            </w:r>
          </w:p>
        </w:tc>
        <w:tc>
          <w:tcPr>
            <w:tcW w:w="850"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单位主要负责人受到地级市委、市政府及省部级部门表扬的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+2</w:t>
            </w:r>
          </w:p>
        </w:tc>
        <w:tc>
          <w:tcPr>
            <w:tcW w:w="850"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单位主要负责人受到省部级通报表扬的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+5</w:t>
            </w:r>
          </w:p>
        </w:tc>
        <w:tc>
          <w:tcPr>
            <w:tcW w:w="850"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单位主要负责人受到国家级通报表扬的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10</w:t>
            </w:r>
          </w:p>
        </w:tc>
        <w:tc>
          <w:tcPr>
            <w:tcW w:w="850"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restart"/>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pacing w:val="-1"/>
                <w:szCs w:val="21"/>
              </w:rPr>
            </w:pPr>
            <w:r>
              <w:rPr>
                <w:rFonts w:hint="eastAsia" w:ascii="方正仿宋简体" w:hAnsi="方正仿宋简体" w:eastAsia="方正仿宋简体" w:cs="方正仿宋简体"/>
                <w:b/>
                <w:bCs/>
                <w:spacing w:val="-1"/>
                <w:szCs w:val="21"/>
              </w:rPr>
              <w:t>联合</w:t>
            </w:r>
          </w:p>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pacing w:val="-1"/>
                <w:szCs w:val="21"/>
              </w:rPr>
              <w:t>激励</w:t>
            </w: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政府部门和单位认定或公告为联合激励对象（守信红名单）的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eastAsia" w:ascii="Times New Roman" w:hAnsi="Times New Roman" w:eastAsia="方正仿宋简体" w:cs="Times New Roman"/>
                <w:b/>
                <w:bCs/>
                <w:kern w:val="2"/>
                <w:sz w:val="21"/>
                <w:szCs w:val="21"/>
              </w:rPr>
              <w:t>+20</w:t>
            </w:r>
          </w:p>
        </w:tc>
        <w:tc>
          <w:tcPr>
            <w:tcW w:w="850" w:type="dxa"/>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最高加</w:t>
            </w:r>
            <w:r>
              <w:rPr>
                <w:rFonts w:hint="eastAsia" w:ascii="Times New Roman" w:hAnsi="Times New Roman" w:eastAsia="方正仿宋简体" w:cs="Times New Roman"/>
                <w:b/>
                <w:bCs/>
                <w:szCs w:val="21"/>
              </w:rPr>
              <w:t>40</w:t>
            </w:r>
            <w:r>
              <w:rPr>
                <w:rFonts w:hint="eastAsia" w:ascii="方正仿宋简体" w:hAnsi="方正仿宋简体" w:eastAsia="方正仿宋简体" w:cs="方正仿宋简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国家公共信用综合评价等级为“优”的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eastAsia" w:ascii="Times New Roman" w:hAnsi="Times New Roman" w:eastAsia="方正仿宋简体" w:cs="Times New Roman"/>
                <w:b/>
                <w:bCs/>
                <w:kern w:val="2"/>
                <w:sz w:val="21"/>
                <w:szCs w:val="21"/>
              </w:rPr>
              <w:t>+20</w:t>
            </w:r>
          </w:p>
        </w:tc>
        <w:tc>
          <w:tcPr>
            <w:tcW w:w="850" w:type="dxa"/>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国家“互联网+监管”信用预警等级为“A”</w:t>
            </w:r>
            <w:r>
              <w:rPr>
                <w:rFonts w:hint="eastAsia" w:ascii="方正仿宋简体" w:hAnsi="方正仿宋简体" w:eastAsia="方正仿宋简体" w:cs="方正仿宋简体"/>
                <w:b/>
                <w:bCs/>
                <w:kern w:val="2"/>
                <w:sz w:val="21"/>
                <w:szCs w:val="21"/>
                <w:lang w:eastAsia="zh-CN"/>
              </w:rPr>
              <w:t>级</w:t>
            </w:r>
            <w:r>
              <w:rPr>
                <w:rFonts w:hint="eastAsia" w:ascii="方正仿宋简体" w:hAnsi="方正仿宋简体" w:eastAsia="方正仿宋简体" w:cs="方正仿宋简体"/>
                <w:b/>
                <w:bCs/>
                <w:kern w:val="2"/>
                <w:sz w:val="21"/>
                <w:szCs w:val="21"/>
              </w:rPr>
              <w:t>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eastAsia" w:ascii="Times New Roman" w:hAnsi="Times New Roman" w:eastAsia="方正仿宋简体" w:cs="Times New Roman"/>
                <w:b/>
                <w:bCs/>
                <w:kern w:val="2"/>
                <w:sz w:val="21"/>
                <w:szCs w:val="21"/>
              </w:rPr>
              <w:t>+20</w:t>
            </w:r>
          </w:p>
        </w:tc>
        <w:tc>
          <w:tcPr>
            <w:tcW w:w="850" w:type="dxa"/>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税务部门开展的纳税信用等级评价为“A”级的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eastAsia" w:ascii="Times New Roman" w:hAnsi="Times New Roman" w:eastAsia="方正仿宋简体" w:cs="Times New Roman"/>
                <w:b/>
                <w:bCs/>
                <w:kern w:val="2"/>
                <w:sz w:val="21"/>
                <w:szCs w:val="21"/>
              </w:rPr>
              <w:t>+10</w:t>
            </w:r>
          </w:p>
        </w:tc>
        <w:tc>
          <w:tcPr>
            <w:tcW w:w="850" w:type="dxa"/>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生态环境部门开展企业环境信用评价为“绿标”的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eastAsia" w:ascii="Times New Roman" w:hAnsi="Times New Roman" w:eastAsia="方正仿宋简体" w:cs="Times New Roman"/>
                <w:b/>
                <w:bCs/>
                <w:kern w:val="2"/>
                <w:sz w:val="21"/>
                <w:szCs w:val="21"/>
              </w:rPr>
              <w:t>+5</w:t>
            </w:r>
          </w:p>
        </w:tc>
        <w:tc>
          <w:tcPr>
            <w:tcW w:w="850" w:type="dxa"/>
            <w:vMerge w:val="restart"/>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最高加</w:t>
            </w:r>
            <w:r>
              <w:rPr>
                <w:rFonts w:hint="eastAsia" w:ascii="Times New Roman" w:hAnsi="Times New Roman" w:eastAsia="方正仿宋简体" w:cs="Times New Roman"/>
                <w:b/>
                <w:bCs/>
                <w:szCs w:val="21"/>
              </w:rPr>
              <w:t>15</w:t>
            </w:r>
            <w:r>
              <w:rPr>
                <w:rFonts w:hint="eastAsia" w:ascii="方正仿宋简体" w:hAnsi="方正仿宋简体" w:eastAsia="方正仿宋简体" w:cs="方正仿宋简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海关部门认定为“高级认证企业”的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eastAsia" w:ascii="Times New Roman" w:hAnsi="Times New Roman" w:eastAsia="方正仿宋简体" w:cs="Times New Roman"/>
                <w:b/>
                <w:bCs/>
                <w:kern w:val="2"/>
                <w:sz w:val="21"/>
                <w:szCs w:val="21"/>
              </w:rPr>
              <w:t>+5</w:t>
            </w:r>
          </w:p>
        </w:tc>
        <w:tc>
          <w:tcPr>
            <w:tcW w:w="850"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tabs>
                <w:tab w:val="left" w:pos="651"/>
              </w:tabs>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交通运输部门开展的企业信用等级评价为“A”级的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eastAsia" w:ascii="Times New Roman" w:hAnsi="Times New Roman" w:eastAsia="方正仿宋简体" w:cs="Times New Roman"/>
                <w:b/>
                <w:bCs/>
                <w:kern w:val="2"/>
                <w:sz w:val="21"/>
                <w:szCs w:val="21"/>
              </w:rPr>
              <w:t>+5</w:t>
            </w:r>
          </w:p>
        </w:tc>
        <w:tc>
          <w:tcPr>
            <w:tcW w:w="850"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83" w:type="dxa"/>
            <w:vMerge w:val="continue"/>
            <w:vAlign w:val="center"/>
          </w:tcPr>
          <w:p>
            <w:pPr>
              <w:keepNext w:val="0"/>
              <w:keepLines w:val="0"/>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获得国家级、省级名牌企业、老字号企业、原产地标识企业、企业信用管理典型企业等品牌称号的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+5</w:t>
            </w:r>
          </w:p>
        </w:tc>
        <w:tc>
          <w:tcPr>
            <w:tcW w:w="850" w:type="dxa"/>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最高加</w:t>
            </w:r>
            <w:r>
              <w:rPr>
                <w:rFonts w:hint="default" w:ascii="Times New Roman" w:hAnsi="Times New Roman" w:eastAsia="方正仿宋简体" w:cs="Times New Roman"/>
                <w:b/>
                <w:bCs/>
                <w:szCs w:val="21"/>
              </w:rPr>
              <w:t>20</w:t>
            </w:r>
            <w:r>
              <w:rPr>
                <w:rFonts w:hint="eastAsia" w:ascii="方正仿宋简体" w:hAnsi="方正仿宋简体" w:eastAsia="方正仿宋简体" w:cs="方正仿宋简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83" w:type="dxa"/>
            <w:vMerge w:val="continue"/>
            <w:vAlign w:val="center"/>
          </w:tcPr>
          <w:p>
            <w:pPr>
              <w:keepNext w:val="0"/>
              <w:keepLines w:val="0"/>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获得国家级、省级高新技术企业、省级服务业创新中心、企业技术中心、工程研究中心等称号或获得发明专利、著作权或商标注册的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+5</w:t>
            </w:r>
          </w:p>
        </w:tc>
        <w:tc>
          <w:tcPr>
            <w:tcW w:w="850" w:type="dxa"/>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最高加</w:t>
            </w:r>
            <w:r>
              <w:rPr>
                <w:rFonts w:hint="default" w:ascii="Times New Roman" w:hAnsi="Times New Roman" w:eastAsia="方正仿宋简体" w:cs="Times New Roman"/>
                <w:b/>
                <w:bCs/>
                <w:szCs w:val="21"/>
              </w:rPr>
              <w:t>20</w:t>
            </w:r>
            <w:r>
              <w:rPr>
                <w:rFonts w:hint="eastAsia" w:ascii="方正仿宋简体" w:hAnsi="方正仿宋简体" w:eastAsia="方正仿宋简体" w:cs="方正仿宋简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pacing w:val="-1"/>
                <w:szCs w:val="21"/>
              </w:rPr>
            </w:pPr>
            <w:r>
              <w:rPr>
                <w:rFonts w:hint="eastAsia" w:ascii="方正仿宋简体" w:hAnsi="方正仿宋简体" w:eastAsia="方正仿宋简体" w:cs="方正仿宋简体"/>
                <w:b/>
                <w:bCs/>
                <w:spacing w:val="-1"/>
                <w:szCs w:val="21"/>
              </w:rPr>
              <w:t>其他</w:t>
            </w:r>
          </w:p>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pacing w:val="-1"/>
                <w:szCs w:val="21"/>
              </w:rPr>
              <w:t>诚信</w:t>
            </w: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其他守信行为视情节加分</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+1至+5</w:t>
            </w:r>
          </w:p>
        </w:tc>
        <w:tc>
          <w:tcPr>
            <w:tcW w:w="850" w:type="dxa"/>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683" w:type="dxa"/>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黑体简体" w:hAnsi="方正黑体简体" w:eastAsia="方正黑体简体" w:cs="方正黑体简体"/>
                <w:b/>
                <w:bCs/>
                <w:szCs w:val="21"/>
              </w:rPr>
              <w:t>信息属性</w:t>
            </w:r>
          </w:p>
        </w:tc>
        <w:tc>
          <w:tcPr>
            <w:tcW w:w="876" w:type="dxa"/>
            <w:vAlign w:val="center"/>
          </w:tcPr>
          <w:p>
            <w:pPr>
              <w:keepNext w:val="0"/>
              <w:keepLines w:val="0"/>
              <w:widowControl/>
              <w:suppressLineNumbers w:val="0"/>
              <w:spacing w:before="0" w:beforeAutospacing="0" w:after="0" w:afterAutospacing="0"/>
              <w:ind w:left="0" w:right="0"/>
              <w:jc w:val="center"/>
              <w:rPr>
                <w:rFonts w:hint="default" w:ascii="方正黑体简体" w:hAnsi="方正黑体简体" w:eastAsia="方正黑体简体" w:cs="方正黑体简体"/>
                <w:b/>
                <w:bCs/>
                <w:szCs w:val="21"/>
              </w:rPr>
            </w:pPr>
            <w:r>
              <w:rPr>
                <w:rFonts w:hint="eastAsia" w:ascii="方正黑体简体" w:hAnsi="方正黑体简体" w:eastAsia="方正黑体简体" w:cs="方正黑体简体"/>
                <w:b/>
                <w:bCs/>
                <w:szCs w:val="21"/>
              </w:rPr>
              <w:t>信息</w:t>
            </w:r>
          </w:p>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黑体简体" w:hAnsi="方正黑体简体" w:eastAsia="方正黑体简体" w:cs="方正黑体简体"/>
                <w:b/>
                <w:bCs/>
                <w:szCs w:val="21"/>
              </w:rPr>
              <w:t>类别</w:t>
            </w:r>
          </w:p>
        </w:tc>
        <w:tc>
          <w:tcPr>
            <w:tcW w:w="6096" w:type="dxa"/>
            <w:vAlign w:val="center"/>
          </w:tcPr>
          <w:p>
            <w:pPr>
              <w:pStyle w:val="15"/>
              <w:keepNext w:val="0"/>
              <w:keepLines w:val="0"/>
              <w:widowControl/>
              <w:suppressLineNumbers w:val="0"/>
              <w:autoSpaceDN/>
              <w:spacing w:before="63" w:beforeAutospacing="0" w:after="0" w:afterAutospacing="0"/>
              <w:ind w:left="0" w:right="0"/>
              <w:jc w:val="center"/>
              <w:rPr>
                <w:rFonts w:hint="default" w:ascii="方正仿宋简体" w:hAnsi="方正仿宋简体" w:eastAsia="方正仿宋简体" w:cs="方正仿宋简体"/>
                <w:b/>
                <w:bCs/>
                <w:kern w:val="2"/>
                <w:sz w:val="21"/>
                <w:szCs w:val="21"/>
              </w:rPr>
            </w:pPr>
            <w:r>
              <w:rPr>
                <w:rFonts w:hint="eastAsia" w:ascii="方正黑体简体" w:hAnsi="方正黑体简体" w:eastAsia="方正黑体简体" w:cs="方正黑体简体"/>
                <w:b/>
                <w:bCs/>
                <w:sz w:val="21"/>
                <w:szCs w:val="21"/>
              </w:rPr>
              <w:t>评  价  指  标</w:t>
            </w:r>
          </w:p>
        </w:tc>
        <w:tc>
          <w:tcPr>
            <w:tcW w:w="1276" w:type="dxa"/>
            <w:vAlign w:val="center"/>
          </w:tcPr>
          <w:p>
            <w:pPr>
              <w:pStyle w:val="15"/>
              <w:keepNext w:val="0"/>
              <w:keepLines w:val="0"/>
              <w:widowControl/>
              <w:suppressLineNumbers w:val="0"/>
              <w:autoSpaceDN/>
              <w:spacing w:before="63" w:beforeAutospacing="0" w:after="0" w:afterAutospacing="0"/>
              <w:ind w:left="0" w:right="0"/>
              <w:jc w:val="center"/>
              <w:rPr>
                <w:rFonts w:hint="default" w:ascii="方正仿宋简体" w:hAnsi="方正仿宋简体" w:eastAsia="方正仿宋简体" w:cs="方正仿宋简体"/>
                <w:b/>
                <w:bCs/>
                <w:kern w:val="2"/>
                <w:sz w:val="21"/>
                <w:szCs w:val="21"/>
              </w:rPr>
            </w:pPr>
            <w:r>
              <w:rPr>
                <w:rFonts w:hint="eastAsia" w:ascii="方正黑体简体" w:hAnsi="方正黑体简体" w:eastAsia="方正黑体简体" w:cs="方正黑体简体"/>
                <w:b/>
                <w:bCs/>
                <w:sz w:val="21"/>
                <w:szCs w:val="21"/>
              </w:rPr>
              <w:t>赋分</w:t>
            </w:r>
          </w:p>
        </w:tc>
        <w:tc>
          <w:tcPr>
            <w:tcW w:w="850" w:type="dxa"/>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黑体简体" w:hAnsi="方正黑体简体" w:eastAsia="方正黑体简体" w:cs="方正黑体简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683" w:type="dxa"/>
            <w:vMerge w:val="restart"/>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失信信息</w:t>
            </w:r>
          </w:p>
        </w:tc>
        <w:tc>
          <w:tcPr>
            <w:tcW w:w="876" w:type="dxa"/>
            <w:vMerge w:val="restart"/>
            <w:vAlign w:val="center"/>
          </w:tcPr>
          <w:p>
            <w:pPr>
              <w:keepNext w:val="0"/>
              <w:keepLines w:val="0"/>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司法</w:t>
            </w:r>
          </w:p>
          <w:p>
            <w:pPr>
              <w:keepNext w:val="0"/>
              <w:keepLines w:val="0"/>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执行</w:t>
            </w:r>
          </w:p>
        </w:tc>
        <w:tc>
          <w:tcPr>
            <w:tcW w:w="6096" w:type="dxa"/>
            <w:vAlign w:val="center"/>
          </w:tcPr>
          <w:p>
            <w:pPr>
              <w:pStyle w:val="15"/>
              <w:keepNext w:val="0"/>
              <w:keepLines w:val="0"/>
              <w:suppressLineNumbers w:val="0"/>
              <w:spacing w:before="0" w:beforeAutospacing="0" w:after="0" w:afterAutospacing="0" w:line="280" w:lineRule="exact"/>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被法院列入失信被执行人名单的</w:t>
            </w:r>
          </w:p>
        </w:tc>
        <w:tc>
          <w:tcPr>
            <w:tcW w:w="1276" w:type="dxa"/>
            <w:vAlign w:val="center"/>
          </w:tcPr>
          <w:p>
            <w:pPr>
              <w:pStyle w:val="15"/>
              <w:keepNext w:val="0"/>
              <w:keepLines w:val="0"/>
              <w:suppressLineNumbers w:val="0"/>
              <w:spacing w:before="0" w:beforeAutospacing="0" w:after="0" w:afterAutospacing="0" w:line="280" w:lineRule="exact"/>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-200</w:t>
            </w:r>
          </w:p>
        </w:tc>
        <w:tc>
          <w:tcPr>
            <w:tcW w:w="850" w:type="dxa"/>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最高减</w:t>
            </w:r>
            <w:r>
              <w:rPr>
                <w:rFonts w:hint="default" w:ascii="Times New Roman" w:hAnsi="Times New Roman" w:eastAsia="方正仿宋简体" w:cs="Times New Roman"/>
                <w:b/>
                <w:bCs/>
                <w:szCs w:val="21"/>
              </w:rPr>
              <w:t>400</w:t>
            </w:r>
            <w:r>
              <w:rPr>
                <w:rFonts w:hint="eastAsia" w:ascii="方正仿宋简体" w:hAnsi="方正仿宋简体" w:eastAsia="方正仿宋简体" w:cs="方正仿宋简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683" w:type="dxa"/>
            <w:vMerge w:val="continue"/>
            <w:vAlign w:val="center"/>
          </w:tcPr>
          <w:p>
            <w:pPr>
              <w:keepNext w:val="0"/>
              <w:keepLines w:val="0"/>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0" w:beforeAutospacing="0" w:after="0" w:afterAutospacing="0" w:line="280" w:lineRule="exact"/>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被法院列入被执行人名单的</w:t>
            </w:r>
          </w:p>
        </w:tc>
        <w:tc>
          <w:tcPr>
            <w:tcW w:w="1276" w:type="dxa"/>
            <w:vAlign w:val="center"/>
          </w:tcPr>
          <w:p>
            <w:pPr>
              <w:pStyle w:val="15"/>
              <w:keepNext w:val="0"/>
              <w:keepLines w:val="0"/>
              <w:suppressLineNumbers w:val="0"/>
              <w:spacing w:before="0" w:beforeAutospacing="0" w:after="0" w:afterAutospacing="0" w:line="280" w:lineRule="exact"/>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-10</w:t>
            </w:r>
          </w:p>
        </w:tc>
        <w:tc>
          <w:tcPr>
            <w:tcW w:w="850" w:type="dxa"/>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最高减</w:t>
            </w:r>
            <w:r>
              <w:rPr>
                <w:rFonts w:hint="default" w:ascii="Times New Roman" w:hAnsi="Times New Roman" w:eastAsia="方正仿宋简体" w:cs="Times New Roman"/>
                <w:b/>
                <w:bCs/>
                <w:szCs w:val="21"/>
              </w:rPr>
              <w:t>20</w:t>
            </w:r>
            <w:r>
              <w:rPr>
                <w:rFonts w:hint="eastAsia" w:ascii="方正仿宋简体" w:hAnsi="方正仿宋简体" w:eastAsia="方正仿宋简体" w:cs="方正仿宋简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683" w:type="dxa"/>
            <w:vMerge w:val="continue"/>
            <w:vAlign w:val="center"/>
          </w:tcPr>
          <w:p>
            <w:pPr>
              <w:keepNext w:val="0"/>
              <w:keepLines w:val="0"/>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0" w:beforeAutospacing="0" w:after="0" w:afterAutospacing="0" w:line="280" w:lineRule="exact"/>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法定代表人、实际控制人等被列为被执行人的</w:t>
            </w:r>
          </w:p>
        </w:tc>
        <w:tc>
          <w:tcPr>
            <w:tcW w:w="1276" w:type="dxa"/>
            <w:vAlign w:val="center"/>
          </w:tcPr>
          <w:p>
            <w:pPr>
              <w:pStyle w:val="15"/>
              <w:keepNext w:val="0"/>
              <w:keepLines w:val="0"/>
              <w:suppressLineNumbers w:val="0"/>
              <w:spacing w:before="0" w:beforeAutospacing="0" w:after="0" w:afterAutospacing="0" w:line="280" w:lineRule="exact"/>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-5</w:t>
            </w:r>
          </w:p>
        </w:tc>
        <w:tc>
          <w:tcPr>
            <w:tcW w:w="850" w:type="dxa"/>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最高减</w:t>
            </w:r>
            <w:r>
              <w:rPr>
                <w:rFonts w:hint="default" w:ascii="Times New Roman" w:hAnsi="Times New Roman" w:eastAsia="方正仿宋简体" w:cs="Times New Roman"/>
                <w:b/>
                <w:bCs/>
                <w:szCs w:val="21"/>
              </w:rPr>
              <w:t>10</w:t>
            </w:r>
            <w:r>
              <w:rPr>
                <w:rFonts w:hint="eastAsia" w:ascii="方正仿宋简体" w:hAnsi="方正仿宋简体" w:eastAsia="方正仿宋简体" w:cs="方正仿宋简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683" w:type="dxa"/>
            <w:vMerge w:val="continue"/>
            <w:vAlign w:val="center"/>
          </w:tcPr>
          <w:p>
            <w:pPr>
              <w:keepNext w:val="0"/>
              <w:keepLines w:val="0"/>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0" w:beforeAutospacing="0" w:after="0" w:afterAutospacing="0" w:line="280" w:lineRule="exact"/>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法院生效判决涉及合同纠纷事件中需承担继续履行支付违约金等责任的当事人，每发生一次的</w:t>
            </w:r>
          </w:p>
        </w:tc>
        <w:tc>
          <w:tcPr>
            <w:tcW w:w="1276" w:type="dxa"/>
            <w:vAlign w:val="center"/>
          </w:tcPr>
          <w:p>
            <w:pPr>
              <w:pStyle w:val="15"/>
              <w:keepNext w:val="0"/>
              <w:keepLines w:val="0"/>
              <w:suppressLineNumbers w:val="0"/>
              <w:spacing w:before="0" w:beforeAutospacing="0" w:after="0" w:afterAutospacing="0" w:line="280" w:lineRule="exact"/>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1</w:t>
            </w:r>
            <w:r>
              <w:rPr>
                <w:rFonts w:hint="default" w:ascii="Times New Roman" w:hAnsi="Times New Roman" w:eastAsia="方正仿宋简体" w:cs="Times New Roman"/>
                <w:b/>
                <w:bCs/>
                <w:kern w:val="2"/>
                <w:sz w:val="21"/>
                <w:szCs w:val="21"/>
              </w:rPr>
              <w:t>0</w:t>
            </w:r>
          </w:p>
        </w:tc>
        <w:tc>
          <w:tcPr>
            <w:tcW w:w="850" w:type="dxa"/>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最高减</w:t>
            </w:r>
            <w:r>
              <w:rPr>
                <w:rFonts w:hint="eastAsia" w:ascii="Times New Roman" w:hAnsi="Times New Roman" w:eastAsia="方正仿宋简体" w:cs="Times New Roman"/>
                <w:b/>
                <w:bCs/>
                <w:szCs w:val="21"/>
              </w:rPr>
              <w:t>20</w:t>
            </w:r>
            <w:r>
              <w:rPr>
                <w:rFonts w:hint="eastAsia" w:ascii="方正仿宋简体" w:hAnsi="方正仿宋简体" w:eastAsia="方正仿宋简体" w:cs="方正仿宋简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vMerge w:val="continue"/>
            <w:vAlign w:val="center"/>
          </w:tcPr>
          <w:p>
            <w:pPr>
              <w:keepNext w:val="0"/>
              <w:keepLines w:val="0"/>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restart"/>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信用</w:t>
            </w:r>
          </w:p>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承诺</w:t>
            </w:r>
          </w:p>
        </w:tc>
        <w:tc>
          <w:tcPr>
            <w:tcW w:w="6096" w:type="dxa"/>
            <w:vAlign w:val="center"/>
          </w:tcPr>
          <w:p>
            <w:pPr>
              <w:pStyle w:val="15"/>
              <w:keepNext w:val="0"/>
              <w:keepLines w:val="0"/>
              <w:suppressLineNumbers w:val="0"/>
              <w:spacing w:before="0" w:beforeAutospacing="0" w:after="0" w:afterAutospacing="0" w:line="280" w:lineRule="exact"/>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在行政事项中作出信用承诺但未履行的，每发生一次的</w:t>
            </w:r>
          </w:p>
        </w:tc>
        <w:tc>
          <w:tcPr>
            <w:tcW w:w="1276" w:type="dxa"/>
            <w:vAlign w:val="center"/>
          </w:tcPr>
          <w:p>
            <w:pPr>
              <w:pStyle w:val="15"/>
              <w:keepNext w:val="0"/>
              <w:keepLines w:val="0"/>
              <w:suppressLineNumbers w:val="0"/>
              <w:spacing w:before="0" w:beforeAutospacing="0" w:after="0" w:afterAutospacing="0" w:line="280" w:lineRule="exact"/>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3</w:t>
            </w:r>
          </w:p>
        </w:tc>
        <w:tc>
          <w:tcPr>
            <w:tcW w:w="850" w:type="dxa"/>
            <w:vMerge w:val="restart"/>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最高减</w:t>
            </w:r>
            <w:r>
              <w:rPr>
                <w:rFonts w:hint="eastAsia" w:ascii="Times New Roman" w:hAnsi="Times New Roman" w:eastAsia="方正仿宋简体" w:cs="Times New Roman"/>
                <w:b/>
                <w:bCs/>
                <w:szCs w:val="21"/>
              </w:rPr>
              <w:t>2</w:t>
            </w:r>
            <w:r>
              <w:rPr>
                <w:rFonts w:hint="default" w:ascii="Times New Roman" w:hAnsi="Times New Roman" w:eastAsia="方正仿宋简体" w:cs="Times New Roman"/>
                <w:b/>
                <w:bCs/>
                <w:szCs w:val="21"/>
              </w:rPr>
              <w:t>0</w:t>
            </w:r>
            <w:r>
              <w:rPr>
                <w:rFonts w:hint="eastAsia" w:ascii="方正仿宋简体" w:hAnsi="方正仿宋简体" w:eastAsia="方正仿宋简体" w:cs="方正仿宋简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83" w:type="dxa"/>
            <w:vMerge w:val="continue"/>
            <w:vAlign w:val="center"/>
          </w:tcPr>
          <w:p>
            <w:pPr>
              <w:keepNext w:val="0"/>
              <w:keepLines w:val="0"/>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0" w:beforeAutospacing="0" w:after="0" w:afterAutospacing="0" w:line="280" w:lineRule="exact"/>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在行政事项中作出信用承诺但未履行，未在限期内整改，每发生一次的</w:t>
            </w:r>
          </w:p>
        </w:tc>
        <w:tc>
          <w:tcPr>
            <w:tcW w:w="1276" w:type="dxa"/>
            <w:vAlign w:val="center"/>
          </w:tcPr>
          <w:p>
            <w:pPr>
              <w:pStyle w:val="15"/>
              <w:keepNext w:val="0"/>
              <w:keepLines w:val="0"/>
              <w:suppressLineNumbers w:val="0"/>
              <w:spacing w:before="0" w:beforeAutospacing="0" w:after="0" w:afterAutospacing="0" w:line="280" w:lineRule="exact"/>
              <w:ind w:left="0" w:right="0"/>
              <w:jc w:val="center"/>
              <w:rPr>
                <w:rFonts w:hint="default" w:ascii="Times New Roman" w:hAnsi="Times New Roman" w:eastAsia="方正仿宋简体" w:cs="Times New Roman"/>
                <w:b/>
                <w:bCs/>
                <w:kern w:val="2"/>
                <w:sz w:val="21"/>
                <w:szCs w:val="21"/>
              </w:rPr>
            </w:pPr>
            <w:r>
              <w:rPr>
                <w:rFonts w:hint="eastAsia" w:ascii="Times New Roman" w:hAnsi="Times New Roman" w:eastAsia="方正仿宋简体" w:cs="Times New Roman"/>
                <w:b/>
                <w:bCs/>
                <w:kern w:val="2"/>
                <w:sz w:val="21"/>
                <w:szCs w:val="21"/>
              </w:rPr>
              <w:t>-5</w:t>
            </w:r>
          </w:p>
        </w:tc>
        <w:tc>
          <w:tcPr>
            <w:tcW w:w="850"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Merge w:val="continue"/>
            <w:vAlign w:val="center"/>
          </w:tcPr>
          <w:p>
            <w:pPr>
              <w:keepNext w:val="0"/>
              <w:keepLines w:val="0"/>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0" w:beforeAutospacing="0" w:after="0" w:afterAutospacing="0" w:line="280" w:lineRule="exact"/>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在行政事项中作出信用承诺但未履行，被暂扣许可证件、限制生产经营活动，每发生一次的</w:t>
            </w:r>
          </w:p>
        </w:tc>
        <w:tc>
          <w:tcPr>
            <w:tcW w:w="1276" w:type="dxa"/>
            <w:vAlign w:val="center"/>
          </w:tcPr>
          <w:p>
            <w:pPr>
              <w:pStyle w:val="15"/>
              <w:keepNext w:val="0"/>
              <w:keepLines w:val="0"/>
              <w:suppressLineNumbers w:val="0"/>
              <w:spacing w:before="0" w:beforeAutospacing="0" w:after="0" w:afterAutospacing="0" w:line="280" w:lineRule="exact"/>
              <w:ind w:left="0" w:right="0"/>
              <w:jc w:val="center"/>
              <w:rPr>
                <w:rFonts w:hint="default" w:ascii="Times New Roman" w:hAnsi="Times New Roman" w:eastAsia="方正仿宋简体" w:cs="Times New Roman"/>
                <w:b/>
                <w:bCs/>
                <w:kern w:val="2"/>
                <w:sz w:val="21"/>
                <w:szCs w:val="21"/>
              </w:rPr>
            </w:pPr>
            <w:r>
              <w:rPr>
                <w:rFonts w:hint="eastAsia" w:ascii="Times New Roman" w:hAnsi="Times New Roman" w:eastAsia="方正仿宋简体" w:cs="Times New Roman"/>
                <w:b/>
                <w:bCs/>
                <w:kern w:val="2"/>
                <w:sz w:val="21"/>
                <w:szCs w:val="21"/>
              </w:rPr>
              <w:t>-10</w:t>
            </w:r>
          </w:p>
        </w:tc>
        <w:tc>
          <w:tcPr>
            <w:tcW w:w="850"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683" w:type="dxa"/>
            <w:vMerge w:val="continue"/>
            <w:vAlign w:val="center"/>
          </w:tcPr>
          <w:p>
            <w:pPr>
              <w:keepNext w:val="0"/>
              <w:keepLines w:val="0"/>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0" w:beforeAutospacing="0" w:after="0" w:afterAutospacing="0" w:line="280" w:lineRule="exact"/>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在行政事项中作出信用承诺但未履行，被撤销许可证件，每发生一次的</w:t>
            </w:r>
          </w:p>
        </w:tc>
        <w:tc>
          <w:tcPr>
            <w:tcW w:w="1276" w:type="dxa"/>
            <w:vAlign w:val="center"/>
          </w:tcPr>
          <w:p>
            <w:pPr>
              <w:pStyle w:val="15"/>
              <w:keepNext w:val="0"/>
              <w:keepLines w:val="0"/>
              <w:suppressLineNumbers w:val="0"/>
              <w:spacing w:before="0" w:beforeAutospacing="0" w:after="0" w:afterAutospacing="0" w:line="280" w:lineRule="exact"/>
              <w:ind w:left="0" w:right="0"/>
              <w:jc w:val="center"/>
              <w:rPr>
                <w:rFonts w:hint="default" w:ascii="Times New Roman" w:hAnsi="Times New Roman" w:eastAsia="方正仿宋简体" w:cs="Times New Roman"/>
                <w:b/>
                <w:bCs/>
                <w:kern w:val="2"/>
                <w:sz w:val="21"/>
                <w:szCs w:val="21"/>
              </w:rPr>
            </w:pPr>
            <w:r>
              <w:rPr>
                <w:rFonts w:hint="eastAsia" w:ascii="Times New Roman" w:hAnsi="Times New Roman" w:eastAsia="方正仿宋简体" w:cs="Times New Roman"/>
                <w:b/>
                <w:bCs/>
                <w:kern w:val="2"/>
                <w:sz w:val="21"/>
                <w:szCs w:val="21"/>
              </w:rPr>
              <w:t>-15</w:t>
            </w:r>
          </w:p>
        </w:tc>
        <w:tc>
          <w:tcPr>
            <w:tcW w:w="850"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683" w:type="dxa"/>
            <w:vMerge w:val="continue"/>
            <w:vAlign w:val="center"/>
          </w:tcPr>
          <w:p>
            <w:pPr>
              <w:keepNext w:val="0"/>
              <w:keepLines w:val="0"/>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0" w:beforeAutospacing="0" w:after="0" w:afterAutospacing="0" w:line="280" w:lineRule="exact"/>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在行政事项中作出信用承诺但未履行，被吊销许可证件，每发生一次的</w:t>
            </w:r>
          </w:p>
        </w:tc>
        <w:tc>
          <w:tcPr>
            <w:tcW w:w="1276" w:type="dxa"/>
            <w:vAlign w:val="center"/>
          </w:tcPr>
          <w:p>
            <w:pPr>
              <w:pStyle w:val="15"/>
              <w:keepNext w:val="0"/>
              <w:keepLines w:val="0"/>
              <w:suppressLineNumbers w:val="0"/>
              <w:spacing w:before="0" w:beforeAutospacing="0" w:after="0" w:afterAutospacing="0" w:line="280" w:lineRule="exact"/>
              <w:ind w:left="0" w:right="0"/>
              <w:jc w:val="center"/>
              <w:rPr>
                <w:rFonts w:hint="default" w:ascii="Times New Roman" w:hAnsi="Times New Roman" w:eastAsia="方正仿宋简体" w:cs="Times New Roman"/>
                <w:b/>
                <w:bCs/>
                <w:kern w:val="2"/>
                <w:sz w:val="21"/>
                <w:szCs w:val="21"/>
              </w:rPr>
            </w:pPr>
            <w:r>
              <w:rPr>
                <w:rFonts w:hint="eastAsia" w:ascii="Times New Roman" w:hAnsi="Times New Roman" w:eastAsia="方正仿宋简体" w:cs="Times New Roman"/>
                <w:b/>
                <w:bCs/>
                <w:kern w:val="2"/>
                <w:sz w:val="21"/>
                <w:szCs w:val="21"/>
              </w:rPr>
              <w:t>-20</w:t>
            </w:r>
          </w:p>
        </w:tc>
        <w:tc>
          <w:tcPr>
            <w:tcW w:w="850"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683" w:type="dxa"/>
            <w:vMerge w:val="continue"/>
            <w:vAlign w:val="center"/>
          </w:tcPr>
          <w:p>
            <w:pPr>
              <w:keepNext w:val="0"/>
              <w:keepLines w:val="0"/>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行政</w:t>
            </w:r>
          </w:p>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处罚</w:t>
            </w:r>
          </w:p>
        </w:tc>
        <w:tc>
          <w:tcPr>
            <w:tcW w:w="6096" w:type="dxa"/>
            <w:vAlign w:val="center"/>
          </w:tcPr>
          <w:p>
            <w:pPr>
              <w:pStyle w:val="15"/>
              <w:keepNext w:val="0"/>
              <w:keepLines w:val="0"/>
              <w:suppressLineNumbers w:val="0"/>
              <w:spacing w:before="0" w:beforeAutospacing="0" w:after="0" w:afterAutospacing="0" w:line="280" w:lineRule="exact"/>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被行政机关处以按一般程序作出的行政处罚的，依据失信严重程度进行扣分</w:t>
            </w:r>
          </w:p>
        </w:tc>
        <w:tc>
          <w:tcPr>
            <w:tcW w:w="1276" w:type="dxa"/>
            <w:vAlign w:val="center"/>
          </w:tcPr>
          <w:p>
            <w:pPr>
              <w:pStyle w:val="15"/>
              <w:keepNext w:val="0"/>
              <w:keepLines w:val="0"/>
              <w:suppressLineNumbers w:val="0"/>
              <w:spacing w:before="0" w:beforeAutospacing="0" w:after="0" w:afterAutospacing="0" w:line="280" w:lineRule="exact"/>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5</w:t>
            </w:r>
            <w:r>
              <w:rPr>
                <w:rFonts w:hint="default" w:ascii="Times New Roman" w:hAnsi="Times New Roman" w:eastAsia="方正仿宋简体" w:cs="Times New Roman"/>
                <w:b/>
                <w:bCs/>
                <w:kern w:val="2"/>
                <w:sz w:val="21"/>
                <w:szCs w:val="21"/>
              </w:rPr>
              <w:t>至-</w:t>
            </w:r>
            <w:r>
              <w:rPr>
                <w:rFonts w:hint="eastAsia" w:ascii="Times New Roman" w:hAnsi="Times New Roman" w:eastAsia="方正仿宋简体" w:cs="Times New Roman"/>
                <w:b/>
                <w:bCs/>
                <w:kern w:val="2"/>
                <w:sz w:val="21"/>
                <w:szCs w:val="21"/>
              </w:rPr>
              <w:t>1</w:t>
            </w:r>
            <w:r>
              <w:rPr>
                <w:rFonts w:hint="default" w:ascii="Times New Roman" w:hAnsi="Times New Roman" w:eastAsia="方正仿宋简体" w:cs="Times New Roman"/>
                <w:b/>
                <w:bCs/>
                <w:kern w:val="2"/>
                <w:sz w:val="21"/>
                <w:szCs w:val="21"/>
              </w:rPr>
              <w:t>00</w:t>
            </w:r>
          </w:p>
        </w:tc>
        <w:tc>
          <w:tcPr>
            <w:tcW w:w="850" w:type="dxa"/>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最高减</w:t>
            </w:r>
            <w:r>
              <w:rPr>
                <w:rFonts w:hint="default" w:ascii="Times New Roman" w:hAnsi="Times New Roman" w:eastAsia="方正仿宋简体" w:cs="Times New Roman"/>
                <w:b/>
                <w:bCs/>
                <w:szCs w:val="21"/>
              </w:rPr>
              <w:t>2</w:t>
            </w:r>
            <w:r>
              <w:rPr>
                <w:rFonts w:hint="eastAsia" w:ascii="Times New Roman" w:hAnsi="Times New Roman" w:eastAsia="方正仿宋简体" w:cs="Times New Roman"/>
                <w:b/>
                <w:bCs/>
                <w:szCs w:val="21"/>
              </w:rPr>
              <w:t>0</w:t>
            </w:r>
            <w:r>
              <w:rPr>
                <w:rFonts w:hint="default" w:ascii="Times New Roman" w:hAnsi="Times New Roman" w:eastAsia="方正仿宋简体" w:cs="Times New Roman"/>
                <w:b/>
                <w:bCs/>
                <w:szCs w:val="21"/>
              </w:rPr>
              <w:t>0</w:t>
            </w:r>
            <w:r>
              <w:rPr>
                <w:rFonts w:hint="eastAsia" w:ascii="方正仿宋简体" w:hAnsi="方正仿宋简体" w:eastAsia="方正仿宋简体" w:cs="方正仿宋简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Align w:val="center"/>
          </w:tcPr>
          <w:p>
            <w:pPr>
              <w:keepNext w:val="0"/>
              <w:keepLines w:val="0"/>
              <w:widowControl/>
              <w:suppressLineNumbers w:val="0"/>
              <w:spacing w:before="0" w:beforeAutospacing="0" w:after="0" w:afterAutospacing="0" w:line="280" w:lineRule="exact"/>
              <w:ind w:left="0" w:right="0"/>
              <w:jc w:val="center"/>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行政</w:t>
            </w:r>
          </w:p>
          <w:p>
            <w:pPr>
              <w:keepNext w:val="0"/>
              <w:keepLines w:val="0"/>
              <w:widowControl/>
              <w:suppressLineNumbers w:val="0"/>
              <w:spacing w:before="0" w:beforeAutospacing="0" w:after="0" w:afterAutospacing="0" w:line="280" w:lineRule="exact"/>
              <w:ind w:left="0" w:right="0"/>
              <w:jc w:val="center"/>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强制</w:t>
            </w:r>
          </w:p>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执行</w:t>
            </w:r>
          </w:p>
        </w:tc>
        <w:tc>
          <w:tcPr>
            <w:tcW w:w="6096" w:type="dxa"/>
            <w:vAlign w:val="center"/>
          </w:tcPr>
          <w:p>
            <w:pPr>
              <w:pStyle w:val="15"/>
              <w:keepNext w:val="0"/>
              <w:keepLines w:val="0"/>
              <w:suppressLineNumbers w:val="0"/>
              <w:spacing w:before="0" w:beforeAutospacing="0" w:after="0" w:afterAutospacing="0" w:line="280" w:lineRule="exact"/>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逾期不履行行政义务，行政机关向人民法律申请强制执行的，每发生一次的</w:t>
            </w:r>
          </w:p>
        </w:tc>
        <w:tc>
          <w:tcPr>
            <w:tcW w:w="1276" w:type="dxa"/>
            <w:vAlign w:val="center"/>
          </w:tcPr>
          <w:p>
            <w:pPr>
              <w:pStyle w:val="15"/>
              <w:keepNext w:val="0"/>
              <w:keepLines w:val="0"/>
              <w:suppressLineNumbers w:val="0"/>
              <w:spacing w:before="0" w:beforeAutospacing="0" w:after="0" w:afterAutospacing="0" w:line="280" w:lineRule="exact"/>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20</w:t>
            </w:r>
          </w:p>
        </w:tc>
        <w:tc>
          <w:tcPr>
            <w:tcW w:w="850" w:type="dxa"/>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最高减</w:t>
            </w:r>
            <w:r>
              <w:rPr>
                <w:rFonts w:hint="default" w:ascii="Times New Roman" w:hAnsi="Times New Roman" w:eastAsia="方正仿宋简体" w:cs="Times New Roman"/>
                <w:b/>
                <w:bCs/>
                <w:szCs w:val="21"/>
              </w:rPr>
              <w:t>40</w:t>
            </w:r>
            <w:r>
              <w:rPr>
                <w:rFonts w:hint="eastAsia" w:ascii="方正仿宋简体" w:hAnsi="方正仿宋简体" w:eastAsia="方正仿宋简体" w:cs="方正仿宋简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restart"/>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缴费</w:t>
            </w:r>
          </w:p>
        </w:tc>
        <w:tc>
          <w:tcPr>
            <w:tcW w:w="6096" w:type="dxa"/>
            <w:vAlign w:val="center"/>
          </w:tcPr>
          <w:p>
            <w:pPr>
              <w:pStyle w:val="15"/>
              <w:keepNext w:val="0"/>
              <w:keepLines w:val="0"/>
              <w:suppressLineNumbers w:val="0"/>
              <w:spacing w:before="0" w:beforeAutospacing="0" w:after="0" w:afterAutospacing="0" w:line="280" w:lineRule="exact"/>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拒不缴纳依法应当缴纳的社会保险费的</w:t>
            </w:r>
          </w:p>
        </w:tc>
        <w:tc>
          <w:tcPr>
            <w:tcW w:w="1276" w:type="dxa"/>
            <w:vAlign w:val="center"/>
          </w:tcPr>
          <w:p>
            <w:pPr>
              <w:pStyle w:val="15"/>
              <w:keepNext w:val="0"/>
              <w:keepLines w:val="0"/>
              <w:suppressLineNumbers w:val="0"/>
              <w:spacing w:before="0" w:beforeAutospacing="0" w:after="0" w:afterAutospacing="0" w:line="280" w:lineRule="exact"/>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5</w:t>
            </w:r>
          </w:p>
        </w:tc>
        <w:tc>
          <w:tcPr>
            <w:tcW w:w="850" w:type="dxa"/>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最高减</w:t>
            </w:r>
            <w:r>
              <w:rPr>
                <w:rFonts w:hint="default" w:ascii="Times New Roman" w:hAnsi="Times New Roman" w:eastAsia="方正仿宋简体" w:cs="Times New Roman"/>
                <w:b/>
                <w:bCs/>
                <w:szCs w:val="21"/>
              </w:rPr>
              <w:t>10</w:t>
            </w:r>
            <w:r>
              <w:rPr>
                <w:rFonts w:hint="eastAsia" w:ascii="方正仿宋简体" w:hAnsi="方正仿宋简体" w:eastAsia="方正仿宋简体" w:cs="方正仿宋简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0" w:beforeAutospacing="0" w:after="0" w:afterAutospacing="0" w:line="280" w:lineRule="exact"/>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拒不缴纳依法应当缴纳的公积金的</w:t>
            </w:r>
          </w:p>
        </w:tc>
        <w:tc>
          <w:tcPr>
            <w:tcW w:w="1276" w:type="dxa"/>
            <w:vAlign w:val="center"/>
          </w:tcPr>
          <w:p>
            <w:pPr>
              <w:pStyle w:val="15"/>
              <w:keepNext w:val="0"/>
              <w:keepLines w:val="0"/>
              <w:suppressLineNumbers w:val="0"/>
              <w:spacing w:before="0" w:beforeAutospacing="0" w:after="0" w:afterAutospacing="0" w:line="280" w:lineRule="exact"/>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-5</w:t>
            </w:r>
          </w:p>
        </w:tc>
        <w:tc>
          <w:tcPr>
            <w:tcW w:w="850" w:type="dxa"/>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最高减</w:t>
            </w:r>
            <w:r>
              <w:rPr>
                <w:rFonts w:hint="default" w:ascii="Times New Roman" w:hAnsi="Times New Roman" w:eastAsia="方正仿宋简体" w:cs="Times New Roman"/>
                <w:b/>
                <w:bCs/>
                <w:szCs w:val="21"/>
              </w:rPr>
              <w:t>10</w:t>
            </w:r>
            <w:r>
              <w:rPr>
                <w:rFonts w:hint="eastAsia" w:ascii="方正仿宋简体" w:hAnsi="方正仿宋简体" w:eastAsia="方正仿宋简体" w:cs="方正仿宋简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restart"/>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行业</w:t>
            </w:r>
          </w:p>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惩戒</w:t>
            </w:r>
          </w:p>
        </w:tc>
        <w:tc>
          <w:tcPr>
            <w:tcW w:w="6096" w:type="dxa"/>
            <w:vAlign w:val="center"/>
          </w:tcPr>
          <w:p>
            <w:pPr>
              <w:pStyle w:val="15"/>
              <w:keepNext w:val="0"/>
              <w:keepLines w:val="0"/>
              <w:suppressLineNumbers w:val="0"/>
              <w:spacing w:before="0" w:beforeAutospacing="0" w:after="0" w:afterAutospacing="0" w:line="280" w:lineRule="exact"/>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生态环境部门开展的企业环境信用评价为“黄标”或“黑标”的，每发生一次的</w:t>
            </w:r>
          </w:p>
        </w:tc>
        <w:tc>
          <w:tcPr>
            <w:tcW w:w="1276" w:type="dxa"/>
            <w:vAlign w:val="center"/>
          </w:tcPr>
          <w:p>
            <w:pPr>
              <w:pStyle w:val="15"/>
              <w:keepNext w:val="0"/>
              <w:keepLines w:val="0"/>
              <w:suppressLineNumbers w:val="0"/>
              <w:spacing w:before="0" w:beforeAutospacing="0" w:after="0" w:afterAutospacing="0" w:line="280" w:lineRule="exact"/>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-5</w:t>
            </w:r>
          </w:p>
        </w:tc>
        <w:tc>
          <w:tcPr>
            <w:tcW w:w="850" w:type="dxa"/>
            <w:vMerge w:val="restart"/>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最高减</w:t>
            </w:r>
            <w:r>
              <w:rPr>
                <w:rFonts w:hint="default" w:ascii="Times New Roman" w:hAnsi="Times New Roman" w:eastAsia="方正仿宋简体" w:cs="Times New Roman"/>
                <w:b/>
                <w:bCs/>
                <w:szCs w:val="21"/>
              </w:rPr>
              <w:t>1</w:t>
            </w:r>
            <w:r>
              <w:rPr>
                <w:rFonts w:hint="eastAsia" w:ascii="Times New Roman" w:hAnsi="Times New Roman" w:eastAsia="方正仿宋简体" w:cs="Times New Roman"/>
                <w:b/>
                <w:bCs/>
                <w:szCs w:val="21"/>
              </w:rPr>
              <w:t>5</w:t>
            </w:r>
            <w:r>
              <w:rPr>
                <w:rFonts w:hint="eastAsia" w:ascii="方正仿宋简体" w:hAnsi="方正仿宋简体" w:eastAsia="方正仿宋简体" w:cs="方正仿宋简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0" w:beforeAutospacing="0" w:after="0" w:afterAutospacing="0" w:line="280" w:lineRule="exact"/>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海关部门认定为“失信企业”的，每发生一次的</w:t>
            </w:r>
          </w:p>
        </w:tc>
        <w:tc>
          <w:tcPr>
            <w:tcW w:w="1276" w:type="dxa"/>
            <w:vAlign w:val="center"/>
          </w:tcPr>
          <w:p>
            <w:pPr>
              <w:pStyle w:val="15"/>
              <w:keepNext w:val="0"/>
              <w:keepLines w:val="0"/>
              <w:suppressLineNumbers w:val="0"/>
              <w:spacing w:before="0" w:beforeAutospacing="0" w:after="0" w:afterAutospacing="0" w:line="280" w:lineRule="exact"/>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-5</w:t>
            </w:r>
          </w:p>
        </w:tc>
        <w:tc>
          <w:tcPr>
            <w:tcW w:w="850"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0" w:beforeAutospacing="0" w:after="0" w:afterAutospacing="0" w:line="280" w:lineRule="exact"/>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交通运输部门开展的企业信用等级评价为“</w:t>
            </w:r>
            <w:r>
              <w:rPr>
                <w:rFonts w:hint="eastAsia" w:ascii="Times New Roman" w:hAnsi="Times New Roman" w:eastAsia="方正仿宋简体" w:cs="Times New Roman"/>
                <w:b/>
                <w:bCs/>
                <w:kern w:val="2"/>
                <w:sz w:val="21"/>
                <w:szCs w:val="21"/>
              </w:rPr>
              <w:t>E</w:t>
            </w:r>
            <w:r>
              <w:rPr>
                <w:rFonts w:hint="eastAsia" w:ascii="方正仿宋简体" w:hAnsi="方正仿宋简体" w:eastAsia="方正仿宋简体" w:cs="方正仿宋简体"/>
                <w:b/>
                <w:bCs/>
                <w:kern w:val="2"/>
                <w:sz w:val="21"/>
                <w:szCs w:val="21"/>
              </w:rPr>
              <w:t>”级的，每发生一次的</w:t>
            </w:r>
          </w:p>
        </w:tc>
        <w:tc>
          <w:tcPr>
            <w:tcW w:w="1276" w:type="dxa"/>
            <w:vAlign w:val="center"/>
          </w:tcPr>
          <w:p>
            <w:pPr>
              <w:pStyle w:val="15"/>
              <w:keepNext w:val="0"/>
              <w:keepLines w:val="0"/>
              <w:suppressLineNumbers w:val="0"/>
              <w:spacing w:before="0" w:beforeAutospacing="0" w:after="0" w:afterAutospacing="0" w:line="280" w:lineRule="exact"/>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-5</w:t>
            </w:r>
          </w:p>
        </w:tc>
        <w:tc>
          <w:tcPr>
            <w:tcW w:w="850"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0" w:beforeAutospacing="0" w:after="0" w:afterAutospacing="0" w:line="280" w:lineRule="exact"/>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税务部门开展的纳税信用等级评价为“</w:t>
            </w:r>
            <w:r>
              <w:rPr>
                <w:rFonts w:hint="default" w:ascii="Times New Roman" w:hAnsi="Times New Roman" w:eastAsia="方正仿宋简体" w:cs="Times New Roman"/>
                <w:b/>
                <w:bCs/>
                <w:kern w:val="2"/>
                <w:sz w:val="21"/>
                <w:szCs w:val="21"/>
              </w:rPr>
              <w:t>D</w:t>
            </w:r>
            <w:r>
              <w:rPr>
                <w:rFonts w:hint="eastAsia" w:ascii="方正仿宋简体" w:hAnsi="方正仿宋简体" w:eastAsia="方正仿宋简体" w:cs="方正仿宋简体"/>
                <w:b/>
                <w:bCs/>
                <w:kern w:val="2"/>
                <w:sz w:val="21"/>
                <w:szCs w:val="21"/>
              </w:rPr>
              <w:t>”级的</w:t>
            </w:r>
          </w:p>
        </w:tc>
        <w:tc>
          <w:tcPr>
            <w:tcW w:w="1276" w:type="dxa"/>
            <w:vAlign w:val="center"/>
          </w:tcPr>
          <w:p>
            <w:pPr>
              <w:pStyle w:val="15"/>
              <w:keepNext w:val="0"/>
              <w:keepLines w:val="0"/>
              <w:suppressLineNumbers w:val="0"/>
              <w:spacing w:before="0" w:beforeAutospacing="0" w:after="0" w:afterAutospacing="0" w:line="280" w:lineRule="exact"/>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1</w:t>
            </w:r>
            <w:r>
              <w:rPr>
                <w:rFonts w:hint="default" w:ascii="Times New Roman" w:hAnsi="Times New Roman" w:eastAsia="方正仿宋简体" w:cs="Times New Roman"/>
                <w:b/>
                <w:bCs/>
                <w:kern w:val="2"/>
                <w:sz w:val="21"/>
                <w:szCs w:val="21"/>
              </w:rPr>
              <w:t>0</w:t>
            </w:r>
          </w:p>
        </w:tc>
        <w:tc>
          <w:tcPr>
            <w:tcW w:w="850" w:type="dxa"/>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pacing w:val="-1"/>
                <w:szCs w:val="21"/>
              </w:rPr>
            </w:pPr>
          </w:p>
        </w:tc>
        <w:tc>
          <w:tcPr>
            <w:tcW w:w="6096" w:type="dxa"/>
            <w:vAlign w:val="center"/>
          </w:tcPr>
          <w:p>
            <w:pPr>
              <w:pStyle w:val="15"/>
              <w:keepNext w:val="0"/>
              <w:keepLines w:val="0"/>
              <w:suppressLineNumbers w:val="0"/>
              <w:spacing w:before="0" w:beforeAutospacing="0" w:after="0" w:afterAutospacing="0" w:line="280" w:lineRule="exact"/>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国家“互联网+监管”信用预警等级为“</w:t>
            </w:r>
            <w:r>
              <w:rPr>
                <w:rFonts w:hint="default" w:ascii="Times New Roman" w:hAnsi="Times New Roman" w:eastAsia="方正仿宋简体" w:cs="Times New Roman"/>
                <w:b/>
                <w:bCs/>
                <w:kern w:val="2"/>
                <w:sz w:val="21"/>
                <w:szCs w:val="21"/>
              </w:rPr>
              <w:t>E</w:t>
            </w:r>
            <w:r>
              <w:rPr>
                <w:rFonts w:hint="eastAsia" w:ascii="方正仿宋简体" w:hAnsi="方正仿宋简体" w:eastAsia="方正仿宋简体" w:cs="方正仿宋简体"/>
                <w:b/>
                <w:bCs/>
                <w:kern w:val="2"/>
                <w:sz w:val="21"/>
                <w:szCs w:val="21"/>
              </w:rPr>
              <w:t>”级的</w:t>
            </w:r>
          </w:p>
        </w:tc>
        <w:tc>
          <w:tcPr>
            <w:tcW w:w="1276" w:type="dxa"/>
            <w:vAlign w:val="center"/>
          </w:tcPr>
          <w:p>
            <w:pPr>
              <w:pStyle w:val="15"/>
              <w:keepNext w:val="0"/>
              <w:keepLines w:val="0"/>
              <w:suppressLineNumbers w:val="0"/>
              <w:spacing w:before="0" w:beforeAutospacing="0" w:after="0" w:afterAutospacing="0" w:line="280" w:lineRule="exact"/>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2</w:t>
            </w:r>
            <w:r>
              <w:rPr>
                <w:rFonts w:hint="default" w:ascii="Times New Roman" w:hAnsi="Times New Roman" w:eastAsia="方正仿宋简体" w:cs="Times New Roman"/>
                <w:b/>
                <w:bCs/>
                <w:kern w:val="2"/>
                <w:sz w:val="21"/>
                <w:szCs w:val="21"/>
              </w:rPr>
              <w:t>0</w:t>
            </w:r>
          </w:p>
        </w:tc>
        <w:tc>
          <w:tcPr>
            <w:tcW w:w="850" w:type="dxa"/>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3"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0" w:beforeAutospacing="0" w:after="0" w:afterAutospacing="0" w:line="280" w:lineRule="exact"/>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国家公共信用综合评价等级为“差”的</w:t>
            </w:r>
          </w:p>
        </w:tc>
        <w:tc>
          <w:tcPr>
            <w:tcW w:w="1276" w:type="dxa"/>
            <w:vAlign w:val="center"/>
          </w:tcPr>
          <w:p>
            <w:pPr>
              <w:pStyle w:val="15"/>
              <w:keepNext w:val="0"/>
              <w:keepLines w:val="0"/>
              <w:suppressLineNumbers w:val="0"/>
              <w:spacing w:before="0" w:beforeAutospacing="0" w:after="0" w:afterAutospacing="0" w:line="280" w:lineRule="exact"/>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2</w:t>
            </w:r>
            <w:r>
              <w:rPr>
                <w:rFonts w:hint="default" w:ascii="Times New Roman" w:hAnsi="Times New Roman" w:eastAsia="方正仿宋简体" w:cs="Times New Roman"/>
                <w:b/>
                <w:bCs/>
                <w:kern w:val="2"/>
                <w:sz w:val="21"/>
                <w:szCs w:val="21"/>
              </w:rPr>
              <w:t>0</w:t>
            </w:r>
          </w:p>
        </w:tc>
        <w:tc>
          <w:tcPr>
            <w:tcW w:w="850" w:type="dxa"/>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683" w:type="dxa"/>
            <w:vMerge w:val="continue"/>
            <w:vAlign w:val="center"/>
          </w:tcPr>
          <w:p>
            <w:pPr>
              <w:keepNext w:val="0"/>
              <w:keepLines w:val="0"/>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p>
        </w:tc>
        <w:tc>
          <w:tcPr>
            <w:tcW w:w="6096" w:type="dxa"/>
            <w:vAlign w:val="center"/>
          </w:tcPr>
          <w:p>
            <w:pPr>
              <w:pStyle w:val="15"/>
              <w:keepNext w:val="0"/>
              <w:keepLines w:val="0"/>
              <w:suppressLineNumbers w:val="0"/>
              <w:spacing w:before="0" w:beforeAutospacing="0" w:after="0" w:afterAutospacing="0" w:line="280" w:lineRule="exact"/>
              <w:ind w:left="0" w:right="0"/>
              <w:jc w:val="both"/>
              <w:rPr>
                <w:rFonts w:hint="default" w:ascii="方正仿宋简体" w:hAnsi="方正仿宋简体" w:eastAsia="方正仿宋简体" w:cs="方正仿宋简体"/>
                <w:b/>
                <w:bCs/>
                <w:kern w:val="2"/>
                <w:sz w:val="21"/>
                <w:szCs w:val="21"/>
              </w:rPr>
            </w:pPr>
            <w:r>
              <w:rPr>
                <w:rFonts w:hint="default" w:ascii="方正仿宋简体" w:hAnsi="方正仿宋简体" w:eastAsia="方正仿宋简体" w:cs="方正仿宋简体"/>
                <w:b/>
                <w:bCs/>
                <w:kern w:val="2"/>
                <w:sz w:val="21"/>
                <w:szCs w:val="21"/>
              </w:rPr>
              <w:t>被列入市场监管部门经营异常名录的</w:t>
            </w:r>
          </w:p>
        </w:tc>
        <w:tc>
          <w:tcPr>
            <w:tcW w:w="1276" w:type="dxa"/>
            <w:vAlign w:val="center"/>
          </w:tcPr>
          <w:p>
            <w:pPr>
              <w:pStyle w:val="15"/>
              <w:keepNext w:val="0"/>
              <w:keepLines w:val="0"/>
              <w:suppressLineNumbers w:val="0"/>
              <w:spacing w:before="0" w:beforeAutospacing="0" w:after="0" w:afterAutospacing="0" w:line="280" w:lineRule="exact"/>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-20</w:t>
            </w:r>
          </w:p>
        </w:tc>
        <w:tc>
          <w:tcPr>
            <w:tcW w:w="850" w:type="dxa"/>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683" w:type="dxa"/>
            <w:vMerge w:val="continue"/>
            <w:vAlign w:val="center"/>
          </w:tcPr>
          <w:p>
            <w:pPr>
              <w:keepNext w:val="0"/>
              <w:keepLines w:val="0"/>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restart"/>
            <w:vAlign w:val="center"/>
          </w:tcPr>
          <w:p>
            <w:pPr>
              <w:keepNext w:val="0"/>
              <w:keepLines w:val="0"/>
              <w:widowControl/>
              <w:suppressLineNumbers w:val="0"/>
              <w:spacing w:before="0" w:beforeAutospacing="0" w:after="0" w:afterAutospacing="0" w:line="280" w:lineRule="exact"/>
              <w:ind w:left="0" w:right="0"/>
              <w:jc w:val="center"/>
              <w:rPr>
                <w:rFonts w:hint="eastAsia" w:ascii="方正仿宋简体" w:hAnsi="方正仿宋简体" w:eastAsia="方正仿宋简体" w:cs="方正仿宋简体"/>
                <w:b/>
                <w:bCs/>
                <w:spacing w:val="-1"/>
                <w:szCs w:val="21"/>
              </w:rPr>
            </w:pPr>
            <w:r>
              <w:rPr>
                <w:rFonts w:hint="eastAsia" w:ascii="方正仿宋简体" w:hAnsi="方正仿宋简体" w:eastAsia="方正仿宋简体" w:cs="方正仿宋简体"/>
                <w:b/>
                <w:bCs/>
                <w:spacing w:val="-1"/>
                <w:szCs w:val="21"/>
              </w:rPr>
              <w:t>严重</w:t>
            </w:r>
          </w:p>
          <w:p>
            <w:pPr>
              <w:keepNext w:val="0"/>
              <w:keepLines w:val="0"/>
              <w:widowControl/>
              <w:suppressLineNumbers w:val="0"/>
              <w:spacing w:before="0" w:beforeAutospacing="0" w:after="0" w:afterAutospacing="0" w:line="280" w:lineRule="exact"/>
              <w:ind w:left="0" w:right="0"/>
              <w:jc w:val="center"/>
              <w:rPr>
                <w:rFonts w:hint="eastAsia" w:ascii="方正仿宋简体" w:hAnsi="方正仿宋简体" w:eastAsia="方正仿宋简体" w:cs="方正仿宋简体"/>
                <w:b/>
                <w:bCs/>
                <w:spacing w:val="-1"/>
                <w:szCs w:val="21"/>
              </w:rPr>
            </w:pPr>
            <w:r>
              <w:rPr>
                <w:rFonts w:hint="eastAsia" w:ascii="方正仿宋简体" w:hAnsi="方正仿宋简体" w:eastAsia="方正仿宋简体" w:cs="方正仿宋简体"/>
                <w:b/>
                <w:bCs/>
                <w:spacing w:val="-1"/>
                <w:szCs w:val="21"/>
              </w:rPr>
              <w:t>失信</w:t>
            </w:r>
          </w:p>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pacing w:val="-1"/>
                <w:szCs w:val="21"/>
              </w:rPr>
            </w:pPr>
            <w:r>
              <w:rPr>
                <w:rFonts w:hint="eastAsia" w:ascii="方正仿宋简体" w:hAnsi="方正仿宋简体" w:eastAsia="方正仿宋简体" w:cs="方正仿宋简体"/>
                <w:b/>
                <w:bCs/>
                <w:spacing w:val="-1"/>
                <w:szCs w:val="21"/>
              </w:rPr>
              <w:t>行为</w:t>
            </w:r>
          </w:p>
        </w:tc>
        <w:tc>
          <w:tcPr>
            <w:tcW w:w="6096" w:type="dxa"/>
            <w:vAlign w:val="center"/>
          </w:tcPr>
          <w:p>
            <w:pPr>
              <w:pStyle w:val="15"/>
              <w:keepNext w:val="0"/>
              <w:keepLines w:val="0"/>
              <w:suppressLineNumbers w:val="0"/>
              <w:spacing w:before="0" w:beforeAutospacing="0" w:after="0" w:afterAutospacing="0" w:line="280" w:lineRule="exact"/>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被政府部门依法列入严重失信主体名单的，每发生一次的</w:t>
            </w:r>
          </w:p>
        </w:tc>
        <w:tc>
          <w:tcPr>
            <w:tcW w:w="1276" w:type="dxa"/>
            <w:vAlign w:val="center"/>
          </w:tcPr>
          <w:p>
            <w:pPr>
              <w:pStyle w:val="15"/>
              <w:keepNext w:val="0"/>
              <w:keepLines w:val="0"/>
              <w:suppressLineNumbers w:val="0"/>
              <w:spacing w:before="0" w:beforeAutospacing="0" w:after="0" w:afterAutospacing="0" w:line="280" w:lineRule="exact"/>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200</w:t>
            </w:r>
          </w:p>
        </w:tc>
        <w:tc>
          <w:tcPr>
            <w:tcW w:w="850" w:type="dxa"/>
            <w:vMerge w:val="restart"/>
            <w:vAlign w:val="center"/>
          </w:tcPr>
          <w:p>
            <w:pPr>
              <w:keepNext w:val="0"/>
              <w:keepLines w:val="0"/>
              <w:widowControl/>
              <w:suppressLineNumbers w:val="0"/>
              <w:spacing w:before="0" w:beforeAutospacing="0" w:after="0" w:afterAutospacing="0" w:line="280" w:lineRule="exact"/>
              <w:ind w:left="0" w:right="0"/>
              <w:jc w:val="center"/>
              <w:rPr>
                <w:rFonts w:hint="default"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最高减</w:t>
            </w:r>
            <w:r>
              <w:rPr>
                <w:rFonts w:hint="default" w:ascii="Times New Roman" w:hAnsi="Times New Roman" w:eastAsia="方正仿宋简体" w:cs="Times New Roman"/>
                <w:b/>
                <w:bCs/>
                <w:szCs w:val="21"/>
              </w:rPr>
              <w:t>400</w:t>
            </w:r>
            <w:r>
              <w:rPr>
                <w:rFonts w:hint="eastAsia" w:ascii="方正仿宋简体" w:hAnsi="方正仿宋简体" w:eastAsia="方正仿宋简体" w:cs="方正仿宋简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683" w:type="dxa"/>
            <w:vMerge w:val="continue"/>
            <w:vAlign w:val="center"/>
          </w:tcPr>
          <w:p>
            <w:pPr>
              <w:keepNext w:val="0"/>
              <w:keepLines w:val="0"/>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c>
          <w:tcPr>
            <w:tcW w:w="876"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pacing w:val="-1"/>
                <w:szCs w:val="21"/>
              </w:rPr>
            </w:pPr>
          </w:p>
        </w:tc>
        <w:tc>
          <w:tcPr>
            <w:tcW w:w="6096" w:type="dxa"/>
            <w:vAlign w:val="center"/>
          </w:tcPr>
          <w:p>
            <w:pPr>
              <w:pStyle w:val="15"/>
              <w:keepNext w:val="0"/>
              <w:keepLines w:val="0"/>
              <w:suppressLineNumbers w:val="0"/>
              <w:spacing w:before="60" w:beforeAutospacing="0" w:after="0" w:afterAutospacing="0"/>
              <w:ind w:left="0" w:right="0"/>
              <w:jc w:val="both"/>
              <w:rPr>
                <w:rFonts w:hint="default" w:ascii="方正仿宋简体" w:hAnsi="方正仿宋简体" w:eastAsia="方正仿宋简体" w:cs="方正仿宋简体"/>
                <w:b/>
                <w:bCs/>
                <w:kern w:val="2"/>
                <w:sz w:val="21"/>
                <w:szCs w:val="21"/>
              </w:rPr>
            </w:pPr>
            <w:r>
              <w:rPr>
                <w:rFonts w:hint="eastAsia" w:ascii="方正仿宋简体" w:hAnsi="方正仿宋简体" w:eastAsia="方正仿宋简体" w:cs="方正仿宋简体"/>
                <w:b/>
                <w:bCs/>
                <w:kern w:val="2"/>
                <w:sz w:val="21"/>
                <w:szCs w:val="21"/>
              </w:rPr>
              <w:t>依法列入四类严重失信行为的</w:t>
            </w:r>
          </w:p>
        </w:tc>
        <w:tc>
          <w:tcPr>
            <w:tcW w:w="1276" w:type="dxa"/>
            <w:vAlign w:val="center"/>
          </w:tcPr>
          <w:p>
            <w:pPr>
              <w:pStyle w:val="15"/>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kern w:val="2"/>
                <w:sz w:val="21"/>
                <w:szCs w:val="21"/>
              </w:rPr>
            </w:pPr>
            <w:r>
              <w:rPr>
                <w:rFonts w:hint="default" w:ascii="Times New Roman" w:hAnsi="Times New Roman" w:eastAsia="方正仿宋简体" w:cs="Times New Roman"/>
                <w:b/>
                <w:bCs/>
                <w:kern w:val="2"/>
                <w:sz w:val="21"/>
                <w:szCs w:val="21"/>
              </w:rPr>
              <w:t>-</w:t>
            </w:r>
            <w:r>
              <w:rPr>
                <w:rFonts w:hint="eastAsia" w:ascii="Times New Roman" w:hAnsi="Times New Roman" w:eastAsia="方正仿宋简体" w:cs="Times New Roman"/>
                <w:b/>
                <w:bCs/>
                <w:kern w:val="2"/>
                <w:sz w:val="21"/>
                <w:szCs w:val="21"/>
              </w:rPr>
              <w:t>200</w:t>
            </w:r>
          </w:p>
        </w:tc>
        <w:tc>
          <w:tcPr>
            <w:tcW w:w="850" w:type="dxa"/>
            <w:vMerge w:val="continue"/>
            <w:vAlign w:val="center"/>
          </w:tcPr>
          <w:p>
            <w:pPr>
              <w:keepNext w:val="0"/>
              <w:keepLines w:val="0"/>
              <w:widowControl/>
              <w:suppressLineNumbers w:val="0"/>
              <w:spacing w:before="0" w:beforeAutospacing="0" w:after="0" w:afterAutospacing="0"/>
              <w:ind w:left="0" w:right="0"/>
              <w:jc w:val="center"/>
              <w:rPr>
                <w:rFonts w:hint="default" w:ascii="方正仿宋简体" w:hAnsi="方正仿宋简体" w:eastAsia="方正仿宋简体" w:cs="方正仿宋简体"/>
                <w:b/>
                <w:bCs/>
                <w:szCs w:val="21"/>
              </w:rPr>
            </w:pPr>
          </w:p>
        </w:tc>
      </w:tr>
    </w:tbl>
    <w:p>
      <w:pPr>
        <w:keepNext w:val="0"/>
        <w:keepLines w:val="0"/>
        <w:pageBreakBefore w:val="0"/>
        <w:widowControl w:val="0"/>
        <w:kinsoku/>
        <w:wordWrap/>
        <w:topLinePunct w:val="0"/>
        <w:autoSpaceDE/>
        <w:bidi w:val="0"/>
        <w:spacing w:line="580" w:lineRule="exact"/>
      </w:pPr>
    </w:p>
    <w:p>
      <w:pPr>
        <w:keepNext w:val="0"/>
        <w:keepLines w:val="0"/>
        <w:pageBreakBefore w:val="0"/>
        <w:widowControl w:val="0"/>
        <w:kinsoku/>
        <w:wordWrap/>
        <w:topLinePunct w:val="0"/>
        <w:autoSpaceDE/>
        <w:bidi w:val="0"/>
        <w:spacing w:line="580" w:lineRule="exact"/>
      </w:pPr>
    </w:p>
    <w:p>
      <w:pPr>
        <w:keepNext w:val="0"/>
        <w:keepLines w:val="0"/>
        <w:pageBreakBefore w:val="0"/>
        <w:widowControl w:val="0"/>
        <w:kinsoku/>
        <w:wordWrap/>
        <w:topLinePunct w:val="0"/>
        <w:autoSpaceDE/>
        <w:bidi w:val="0"/>
        <w:spacing w:line="580" w:lineRule="exact"/>
      </w:pPr>
    </w:p>
    <w:p>
      <w:pPr>
        <w:keepNext w:val="0"/>
        <w:keepLines w:val="0"/>
        <w:pageBreakBefore w:val="0"/>
        <w:widowControl w:val="0"/>
        <w:kinsoku/>
        <w:wordWrap/>
        <w:topLinePunct w:val="0"/>
        <w:autoSpaceDE/>
        <w:bidi w:val="0"/>
        <w:spacing w:line="580" w:lineRule="exact"/>
      </w:pPr>
    </w:p>
    <w:p>
      <w:pPr>
        <w:keepNext w:val="0"/>
        <w:keepLines w:val="0"/>
        <w:pageBreakBefore w:val="0"/>
        <w:widowControl w:val="0"/>
        <w:kinsoku/>
        <w:wordWrap/>
        <w:topLinePunct w:val="0"/>
        <w:autoSpaceDE/>
        <w:bidi w:val="0"/>
        <w:spacing w:line="580" w:lineRule="exact"/>
      </w:pPr>
    </w:p>
    <w:p>
      <w:pPr>
        <w:keepNext w:val="0"/>
        <w:keepLines w:val="0"/>
        <w:pageBreakBefore w:val="0"/>
        <w:widowControl w:val="0"/>
        <w:kinsoku/>
        <w:wordWrap/>
        <w:topLinePunct w:val="0"/>
        <w:autoSpaceDE/>
        <w:bidi w:val="0"/>
        <w:spacing w:line="580" w:lineRule="exact"/>
      </w:pPr>
    </w:p>
    <w:p>
      <w:pPr>
        <w:keepNext w:val="0"/>
        <w:keepLines w:val="0"/>
        <w:pageBreakBefore w:val="0"/>
        <w:widowControl w:val="0"/>
        <w:kinsoku/>
        <w:wordWrap/>
        <w:topLinePunct w:val="0"/>
        <w:autoSpaceDE/>
        <w:bidi w:val="0"/>
        <w:spacing w:line="580" w:lineRule="exact"/>
      </w:pPr>
    </w:p>
    <w:p>
      <w:pPr>
        <w:keepNext w:val="0"/>
        <w:keepLines w:val="0"/>
        <w:pageBreakBefore w:val="0"/>
        <w:widowControl w:val="0"/>
        <w:kinsoku/>
        <w:wordWrap/>
        <w:topLinePunct w:val="0"/>
        <w:autoSpaceDE/>
        <w:bidi w:val="0"/>
        <w:spacing w:line="580" w:lineRule="exact"/>
      </w:pPr>
    </w:p>
    <w:p>
      <w:pPr>
        <w:keepNext w:val="0"/>
        <w:keepLines w:val="0"/>
        <w:pageBreakBefore w:val="0"/>
        <w:widowControl w:val="0"/>
        <w:kinsoku/>
        <w:wordWrap/>
        <w:topLinePunct w:val="0"/>
        <w:autoSpaceDE/>
        <w:bidi w:val="0"/>
        <w:spacing w:line="580" w:lineRule="exact"/>
      </w:pPr>
    </w:p>
    <w:p>
      <w:pPr>
        <w:keepNext w:val="0"/>
        <w:keepLines w:val="0"/>
        <w:pageBreakBefore w:val="0"/>
        <w:widowControl w:val="0"/>
        <w:kinsoku/>
        <w:wordWrap/>
        <w:topLinePunct w:val="0"/>
        <w:autoSpaceDE/>
        <w:bidi w:val="0"/>
        <w:spacing w:line="580" w:lineRule="exact"/>
      </w:pPr>
    </w:p>
    <w:p>
      <w:pPr>
        <w:keepNext w:val="0"/>
        <w:keepLines w:val="0"/>
        <w:pageBreakBefore w:val="0"/>
        <w:widowControl w:val="0"/>
        <w:kinsoku/>
        <w:wordWrap/>
        <w:topLinePunct w:val="0"/>
        <w:autoSpaceDE/>
        <w:bidi w:val="0"/>
        <w:spacing w:line="580" w:lineRule="exact"/>
      </w:pPr>
    </w:p>
    <w:p>
      <w:pPr>
        <w:keepNext w:val="0"/>
        <w:keepLines w:val="0"/>
        <w:pageBreakBefore w:val="0"/>
        <w:widowControl w:val="0"/>
        <w:kinsoku/>
        <w:wordWrap/>
        <w:topLinePunct w:val="0"/>
        <w:autoSpaceDE/>
        <w:bidi w:val="0"/>
        <w:spacing w:line="580" w:lineRule="exact"/>
      </w:pPr>
    </w:p>
    <w:p>
      <w:pPr>
        <w:keepNext w:val="0"/>
        <w:keepLines w:val="0"/>
        <w:pageBreakBefore w:val="0"/>
        <w:widowControl w:val="0"/>
        <w:kinsoku/>
        <w:wordWrap/>
        <w:topLinePunct w:val="0"/>
        <w:autoSpaceDE/>
        <w:bidi w:val="0"/>
        <w:spacing w:line="580" w:lineRule="exact"/>
      </w:pPr>
    </w:p>
    <w:p>
      <w:pPr>
        <w:keepNext w:val="0"/>
        <w:keepLines w:val="0"/>
        <w:pageBreakBefore w:val="0"/>
        <w:widowControl w:val="0"/>
        <w:kinsoku/>
        <w:wordWrap/>
        <w:topLinePunct w:val="0"/>
        <w:autoSpaceDE/>
        <w:bidi w:val="0"/>
        <w:spacing w:line="580" w:lineRule="exact"/>
      </w:pPr>
    </w:p>
    <w:p>
      <w:pPr>
        <w:keepNext w:val="0"/>
        <w:keepLines w:val="0"/>
        <w:pageBreakBefore w:val="0"/>
        <w:widowControl w:val="0"/>
        <w:kinsoku/>
        <w:wordWrap/>
        <w:topLinePunct w:val="0"/>
        <w:autoSpaceDE/>
        <w:bidi w:val="0"/>
        <w:spacing w:line="580" w:lineRule="exact"/>
      </w:pPr>
    </w:p>
    <w:p>
      <w:pPr>
        <w:keepNext w:val="0"/>
        <w:keepLines w:val="0"/>
        <w:pageBreakBefore w:val="0"/>
        <w:widowControl w:val="0"/>
        <w:kinsoku/>
        <w:wordWrap/>
        <w:topLinePunct w:val="0"/>
        <w:autoSpaceDE/>
        <w:bidi w:val="0"/>
        <w:spacing w:line="580" w:lineRule="exact"/>
      </w:pPr>
    </w:p>
    <w:p>
      <w:pPr>
        <w:keepNext w:val="0"/>
        <w:keepLines w:val="0"/>
        <w:pageBreakBefore w:val="0"/>
        <w:widowControl w:val="0"/>
        <w:kinsoku/>
        <w:wordWrap/>
        <w:topLinePunct w:val="0"/>
        <w:autoSpaceDE/>
        <w:bidi w:val="0"/>
        <w:spacing w:line="580" w:lineRule="exact"/>
      </w:pPr>
    </w:p>
    <w:p>
      <w:pPr>
        <w:keepNext w:val="0"/>
        <w:keepLines w:val="0"/>
        <w:pageBreakBefore w:val="0"/>
        <w:widowControl w:val="0"/>
        <w:kinsoku/>
        <w:wordWrap/>
        <w:overflowPunct w:val="0"/>
        <w:topLinePunct w:val="0"/>
        <w:autoSpaceDE/>
        <w:autoSpaceDN w:val="0"/>
        <w:bidi w:val="0"/>
        <w:adjustRightInd w:val="0"/>
        <w:snapToGrid w:val="0"/>
        <w:spacing w:after="313" w:afterLines="100" w:line="580" w:lineRule="exact"/>
        <w:textAlignment w:val="baseline"/>
        <w:rPr>
          <w:rFonts w:hAnsi="仿宋"/>
          <w:b/>
          <w:color w:val="000000"/>
          <w:sz w:val="32"/>
          <w:szCs w:val="32"/>
        </w:rPr>
      </w:pPr>
    </w:p>
    <w:p>
      <w:pPr>
        <w:widowControl w:val="0"/>
        <w:overflowPunct w:val="0"/>
        <w:autoSpaceDN w:val="0"/>
        <w:adjustRightInd w:val="0"/>
        <w:snapToGrid w:val="0"/>
        <w:spacing w:line="580" w:lineRule="exact"/>
        <w:ind w:left="843" w:hanging="843" w:hangingChars="300"/>
        <w:textAlignment w:val="baseline"/>
        <w:rPr>
          <w:rFonts w:hint="eastAsia" w:ascii="Calibri" w:hAnsi="Calibri" w:eastAsia="方正仿宋简体" w:cs="Times New Roman"/>
          <w:b/>
          <w:color w:val="000000"/>
          <w:sz w:val="28"/>
          <w:szCs w:val="28"/>
          <w:lang w:val="en-US" w:eastAsia="zh-CN"/>
        </w:rPr>
      </w:pPr>
      <w:r>
        <w:rPr>
          <w:rFonts w:hint="eastAsia" w:ascii="Calibri" w:hAnsi="Calibri" w:eastAsia="方正仿宋简体" w:cs="Times New Roman"/>
          <w:b/>
          <w:color w:val="000000"/>
          <w:sz w:val="28"/>
          <w:szCs w:val="28"/>
          <w:lang w:val="en-US" w:eastAsia="zh-CN"/>
        </w:rPr>
        <w:t>　</w:t>
      </w:r>
      <w:r>
        <w:rPr>
          <w:rFonts w:hint="eastAsia" w:ascii="Calibri" w:hAnsi="Calibri" w:eastAsia="方正仿宋简体" w:cs="Times New Roman"/>
          <w:b/>
          <w:color w:val="000000"/>
          <w:sz w:val="28"/>
          <w:szCs w:val="28"/>
        </w:rPr>
        <w:pict>
          <v:line id="_x0000_s2056" o:spid="_x0000_s2056" o:spt="20" style="position:absolute;left:0pt;margin-top:2.45pt;height:0pt;width:442.2pt;mso-position-horizontal:center;z-index:251661312;mso-width-relative:page;mso-height-relative:page;" filled="f" stroked="t" coordsize="21600,21600">
            <v:path arrowok="t"/>
            <v:fill on="f" focussize="0,0"/>
            <v:stroke weight="1.25pt" color="#000000"/>
            <v:imagedata o:title=""/>
            <o:lock v:ext="edit" aspectratio="f"/>
          </v:line>
        </w:pict>
      </w:r>
      <w:r>
        <w:rPr>
          <w:rFonts w:hint="eastAsia" w:ascii="Calibri" w:hAnsi="Calibri" w:eastAsia="方正仿宋简体" w:cs="Times New Roman"/>
          <w:b/>
          <w:color w:val="000000"/>
          <w:sz w:val="28"/>
          <w:szCs w:val="28"/>
          <w:lang w:val="en-US" w:eastAsia="zh-CN"/>
        </w:rPr>
        <w:t>抄送：</w:t>
      </w:r>
      <w:r>
        <w:rPr>
          <w:rFonts w:hint="eastAsia" w:ascii="Calibri" w:hAnsi="Calibri" w:eastAsia="方正仿宋简体" w:cs="Times New Roman"/>
          <w:b/>
          <w:color w:val="000000"/>
          <w:spacing w:val="0"/>
          <w:sz w:val="28"/>
          <w:szCs w:val="28"/>
          <w:lang w:val="en-US" w:eastAsia="zh-CN"/>
        </w:rPr>
        <w:t>市委各部门，市人大常委会办公室，市政协办公室，市监委</w:t>
      </w:r>
      <w:r>
        <w:rPr>
          <w:rFonts w:hint="eastAsia" w:ascii="Calibri" w:hAnsi="Calibri" w:eastAsia="方正仿宋简体" w:cs="Times New Roman"/>
          <w:b/>
          <w:color w:val="000000"/>
          <w:spacing w:val="-2"/>
          <w:sz w:val="28"/>
          <w:szCs w:val="28"/>
          <w:lang w:val="en-US" w:eastAsia="zh-CN"/>
        </w:rPr>
        <w:t>，</w:t>
      </w:r>
    </w:p>
    <w:p>
      <w:pPr>
        <w:widowControl w:val="0"/>
        <w:overflowPunct w:val="0"/>
        <w:autoSpaceDN w:val="0"/>
        <w:adjustRightInd w:val="0"/>
        <w:snapToGrid w:val="0"/>
        <w:spacing w:line="580" w:lineRule="exact"/>
        <w:ind w:left="843" w:hanging="843" w:hangingChars="300"/>
        <w:textAlignment w:val="baseline"/>
        <w:rPr>
          <w:rFonts w:hint="eastAsia" w:ascii="Calibri" w:hAnsi="Calibri" w:eastAsia="方正仿宋简体" w:cs="Times New Roman"/>
          <w:b/>
          <w:color w:val="000000"/>
          <w:sz w:val="28"/>
          <w:szCs w:val="28"/>
        </w:rPr>
      </w:pPr>
      <w:r>
        <w:rPr>
          <w:rFonts w:hint="eastAsia" w:ascii="Calibri" w:hAnsi="Calibri" w:eastAsia="方正仿宋简体" w:cs="Times New Roman"/>
          <w:b/>
          <w:color w:val="000000"/>
          <w:sz w:val="28"/>
          <w:szCs w:val="28"/>
          <w:lang w:val="en-US" w:eastAsia="zh-CN"/>
        </w:rPr>
        <w:t>　　　　市法院，市检察院，市人武部</w:t>
      </w:r>
    </w:p>
    <w:p>
      <w:pPr>
        <w:keepNext w:val="0"/>
        <w:keepLines w:val="0"/>
        <w:pageBreakBefore w:val="0"/>
        <w:widowControl w:val="0"/>
        <w:kinsoku/>
        <w:wordWrap/>
        <w:overflowPunct w:val="0"/>
        <w:topLinePunct/>
        <w:autoSpaceDE/>
        <w:autoSpaceDN/>
        <w:bidi w:val="0"/>
        <w:adjustRightInd w:val="0"/>
        <w:snapToGrid/>
        <w:spacing w:line="580" w:lineRule="exact"/>
        <w:ind w:firstLine="240" w:firstLineChars="100"/>
        <w:textAlignment w:val="baseline"/>
      </w:pPr>
      <w:r>
        <w:rPr>
          <w:rFonts w:ascii="宋体" w:hAnsi="宋体" w:eastAsia="宋体" w:cs="宋体"/>
          <w:sz w:val="24"/>
          <w:szCs w:val="24"/>
          <w:lang w:eastAsia="zh-CN"/>
        </w:rPr>
        <w:pict>
          <v:rect id="_x0000_s2060" o:spid="_x0000_s2060" o:spt="1" style="position:absolute;left:0pt;margin-left:-25.7pt;margin-top:52.15pt;height:117pt;width:162pt;z-index:251659264;mso-width-relative:page;mso-height-relative:page;" stroked="t" coordsize="21600,21600">
            <v:path/>
            <v:fill focussize="0,0"/>
            <v:stroke color="#FFFFFF"/>
            <v:imagedata o:title=""/>
            <o:lock v:ext="edit"/>
          </v:rect>
        </w:pict>
      </w:r>
      <w:r>
        <w:rPr>
          <w:color w:val="000000"/>
        </w:rPr>
        <w:pict>
          <v:line id="_x0000_s2058" o:spid="_x0000_s2058" o:spt="20" style="position:absolute;left:0pt;margin-top:33.1pt;height:0pt;width:442.2pt;mso-position-horizontal:center;z-index:251660288;mso-width-relative:page;mso-height-relative:page;" filled="f" stroked="t" coordsize="21600,21600">
            <v:path arrowok="t"/>
            <v:fill on="f" focussize="0,0"/>
            <v:stroke weight="1.25pt" color="#000000"/>
            <v:imagedata o:title=""/>
            <o:lock v:ext="edit" aspectratio="f"/>
          </v:line>
        </w:pict>
      </w:r>
      <w:r>
        <w:rPr>
          <w:color w:val="000000"/>
        </w:rPr>
        <w:pict>
          <v:line id="Line 3" o:spid="_x0000_s2059" o:spt="20" style="position:absolute;left:0pt;margin-top:2.45pt;height:0pt;width:442.2pt;mso-position-horizontal:center;z-index:251659264;mso-width-relative:page;mso-height-relative:page;" filled="f" stroked="t" coordsize="21600,21600" o:gfxdata="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DpxidMAAAAFAQAADwAAAAAAAAABACAAAAAiAAAAZHJzL2Rvd25yZXYueG1sUEsB&#10;AhQAFAAAAAgAh07iQOVfK0bBAQAAiwMAAA4AAAAAAAAAAQAgAAAAIgEAAGRycy9lMm9Eb2MueG1s&#10;UEsFBgAAAAAGAAYAWQEAAFUFAAAAAA==&#10;">
            <v:path arrowok="t"/>
            <v:fill on="f" focussize="0,0"/>
            <v:stroke color="#000000"/>
            <v:imagedata o:title=""/>
            <o:lock v:ext="edit" aspectratio="f"/>
          </v:line>
        </w:pict>
      </w:r>
      <w:r>
        <w:rPr>
          <w:rFonts w:hint="eastAsia" w:eastAsia="方正仿宋简体"/>
          <w:b/>
          <w:color w:val="000000"/>
          <w:sz w:val="28"/>
          <w:szCs w:val="28"/>
        </w:rPr>
        <w:t>曲阜市人民政府办公室</w:t>
      </w:r>
      <w:r>
        <w:rPr>
          <w:rFonts w:eastAsia="方正仿宋简体"/>
          <w:b/>
          <w:color w:val="000000"/>
          <w:sz w:val="28"/>
          <w:szCs w:val="28"/>
        </w:rPr>
        <w:t xml:space="preserve">       </w:t>
      </w:r>
      <w:r>
        <w:rPr>
          <w:rFonts w:hint="eastAsia" w:eastAsia="方正仿宋简体"/>
          <w:b/>
          <w:color w:val="000000"/>
          <w:sz w:val="28"/>
          <w:szCs w:val="28"/>
          <w:lang w:val="en-US" w:eastAsia="zh-CN"/>
        </w:rPr>
        <w:t xml:space="preserve"> </w:t>
      </w:r>
      <w:r>
        <w:rPr>
          <w:rFonts w:eastAsia="方正仿宋简体"/>
          <w:b/>
          <w:color w:val="000000"/>
          <w:sz w:val="28"/>
          <w:szCs w:val="28"/>
        </w:rPr>
        <w:t xml:space="preserve">  </w:t>
      </w:r>
      <w:r>
        <w:rPr>
          <w:rFonts w:hint="eastAsia" w:eastAsia="方正仿宋简体"/>
          <w:b/>
          <w:color w:val="000000"/>
          <w:sz w:val="28"/>
          <w:szCs w:val="28"/>
        </w:rPr>
        <w:t xml:space="preserve">   </w:t>
      </w:r>
      <w:r>
        <w:rPr>
          <w:rFonts w:eastAsia="方正仿宋简体"/>
          <w:b/>
          <w:color w:val="000000"/>
          <w:sz w:val="28"/>
          <w:szCs w:val="28"/>
        </w:rPr>
        <w:t xml:space="preserve">       </w:t>
      </w:r>
      <w:r>
        <w:rPr>
          <w:rFonts w:ascii="Times New Roman" w:hAnsi="Times New Roman" w:eastAsia="方正仿宋简体"/>
          <w:b/>
          <w:color w:val="000000"/>
          <w:sz w:val="28"/>
          <w:szCs w:val="28"/>
        </w:rPr>
        <w:t xml:space="preserve"> 2023</w:t>
      </w:r>
      <w:r>
        <w:rPr>
          <w:rFonts w:hint="eastAsia" w:ascii="Times New Roman" w:hAnsi="Times New Roman" w:eastAsia="方正仿宋简体"/>
          <w:b/>
          <w:color w:val="000000"/>
          <w:sz w:val="28"/>
          <w:szCs w:val="28"/>
        </w:rPr>
        <w:t>年</w:t>
      </w:r>
      <w:r>
        <w:rPr>
          <w:rFonts w:hint="eastAsia" w:ascii="Times New Roman" w:hAnsi="Times New Roman" w:eastAsia="方正仿宋简体"/>
          <w:b/>
          <w:color w:val="000000"/>
          <w:sz w:val="28"/>
          <w:szCs w:val="28"/>
          <w:lang w:val="en-US" w:eastAsia="zh-CN"/>
        </w:rPr>
        <w:t>6</w:t>
      </w:r>
      <w:r>
        <w:rPr>
          <w:rFonts w:hint="eastAsia" w:ascii="Times New Roman" w:hAnsi="Times New Roman" w:eastAsia="方正仿宋简体"/>
          <w:b/>
          <w:color w:val="000000"/>
          <w:sz w:val="28"/>
          <w:szCs w:val="28"/>
        </w:rPr>
        <w:t>月</w:t>
      </w:r>
      <w:r>
        <w:rPr>
          <w:rFonts w:hint="eastAsia" w:ascii="Times New Roman" w:hAnsi="Times New Roman" w:eastAsia="方正仿宋简体"/>
          <w:b/>
          <w:color w:val="000000"/>
          <w:sz w:val="28"/>
          <w:szCs w:val="28"/>
          <w:lang w:val="en-US" w:eastAsia="zh-CN"/>
        </w:rPr>
        <w:t>1</w:t>
      </w:r>
      <w:r>
        <w:rPr>
          <w:rFonts w:hint="eastAsia" w:ascii="Times New Roman" w:hAnsi="Times New Roman" w:eastAsia="方正仿宋简体"/>
          <w:b/>
          <w:color w:val="000000"/>
          <w:sz w:val="28"/>
          <w:szCs w:val="28"/>
        </w:rPr>
        <w:t>日印发　</w:t>
      </w:r>
    </w:p>
    <w:sectPr>
      <w:footerReference r:id="rId3" w:type="default"/>
      <w:footerReference r:id="rId4" w:type="even"/>
      <w:pgSz w:w="11906" w:h="16838"/>
      <w:pgMar w:top="2154" w:right="1474" w:bottom="1871" w:left="1587" w:header="851" w:footer="1361"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default" w:eastAsiaTheme="minorEastAsia"/>
        <w:lang w:val="en-US" w:eastAsia="zh-CN"/>
      </w:rPr>
    </w:pPr>
    <w:r>
      <w:rPr>
        <w:rFonts w:hint="eastAsia"/>
        <w:sz w:val="24"/>
        <w:szCs w:val="24"/>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sz w:val="28"/>
        <w:szCs w:val="28"/>
      </w:rPr>
      <w:t xml:space="preserve"> </w:t>
    </w:r>
    <w:r>
      <w:rPr>
        <w:rFonts w:hint="eastAsia"/>
        <w:sz w:val="24"/>
        <w:szCs w:val="24"/>
      </w:rPr>
      <w:t>—</w:t>
    </w:r>
    <w:r>
      <w:rPr>
        <w:rFonts w:hint="eastAsia"/>
        <w:sz w:val="24"/>
        <w:szCs w:val="2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auto"/>
      <w:rPr>
        <w:sz w:val="21"/>
      </w:rPr>
    </w:pPr>
    <w:r>
      <w:rPr>
        <w:rFonts w:hint="eastAsia"/>
        <w:sz w:val="24"/>
        <w:szCs w:val="24"/>
      </w:rPr>
      <w:t xml:space="preserve">  —</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sz w:val="28"/>
        <w:szCs w:val="28"/>
      </w:rPr>
      <w:t xml:space="preserve"> </w:t>
    </w:r>
    <w:r>
      <w:rPr>
        <w:rFonts w:hint="eastAsia"/>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mirrorMargins w:val="true"/>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MDg5NWFlY2NmNDBmZGQ1NGI3NDZjZjk4MjEzNTRiZGIifQ=="/>
  </w:docVars>
  <w:rsids>
    <w:rsidRoot w:val="003A126C"/>
    <w:rsid w:val="001A57F3"/>
    <w:rsid w:val="0021654D"/>
    <w:rsid w:val="00293BEA"/>
    <w:rsid w:val="003A126C"/>
    <w:rsid w:val="00487522"/>
    <w:rsid w:val="004E5D79"/>
    <w:rsid w:val="006C017E"/>
    <w:rsid w:val="006D594C"/>
    <w:rsid w:val="006F731B"/>
    <w:rsid w:val="007A1D2F"/>
    <w:rsid w:val="00803B2B"/>
    <w:rsid w:val="00931642"/>
    <w:rsid w:val="009858E5"/>
    <w:rsid w:val="009E2BCB"/>
    <w:rsid w:val="00A516A3"/>
    <w:rsid w:val="00B00C32"/>
    <w:rsid w:val="00BE0610"/>
    <w:rsid w:val="00BE235E"/>
    <w:rsid w:val="00BF3AFE"/>
    <w:rsid w:val="00DE4AB5"/>
    <w:rsid w:val="00DF62C1"/>
    <w:rsid w:val="00EA5E3D"/>
    <w:rsid w:val="00EE6B11"/>
    <w:rsid w:val="00EF20A2"/>
    <w:rsid w:val="00F1135D"/>
    <w:rsid w:val="00F37F4C"/>
    <w:rsid w:val="0C467839"/>
    <w:rsid w:val="0E552FFA"/>
    <w:rsid w:val="0FC7113A"/>
    <w:rsid w:val="10897925"/>
    <w:rsid w:val="13D14BE2"/>
    <w:rsid w:val="15A65602"/>
    <w:rsid w:val="263537A8"/>
    <w:rsid w:val="2741375A"/>
    <w:rsid w:val="281A1E55"/>
    <w:rsid w:val="28664379"/>
    <w:rsid w:val="29C8236F"/>
    <w:rsid w:val="2BF34879"/>
    <w:rsid w:val="2D6606CF"/>
    <w:rsid w:val="35D13D45"/>
    <w:rsid w:val="370D1264"/>
    <w:rsid w:val="3A746F8F"/>
    <w:rsid w:val="3B11040D"/>
    <w:rsid w:val="41090572"/>
    <w:rsid w:val="43FB6713"/>
    <w:rsid w:val="4624336A"/>
    <w:rsid w:val="4BAE6784"/>
    <w:rsid w:val="4D801836"/>
    <w:rsid w:val="536A7085"/>
    <w:rsid w:val="57C20D34"/>
    <w:rsid w:val="59CF1D9F"/>
    <w:rsid w:val="5BEB196B"/>
    <w:rsid w:val="5E372764"/>
    <w:rsid w:val="5E62519D"/>
    <w:rsid w:val="5FB13FED"/>
    <w:rsid w:val="65C80615"/>
    <w:rsid w:val="6A4F317F"/>
    <w:rsid w:val="7319684A"/>
    <w:rsid w:val="74FF1A89"/>
    <w:rsid w:val="79F006ED"/>
    <w:rsid w:val="7B063B95"/>
    <w:rsid w:val="7B7C369B"/>
    <w:rsid w:val="7C873ADD"/>
    <w:rsid w:val="7E394EB0"/>
    <w:rsid w:val="7EB31ED3"/>
    <w:rsid w:val="CECF3F53"/>
    <w:rsid w:val="DBDABF4D"/>
    <w:rsid w:val="F1176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qFormat/>
    <w:uiPriority w:val="1"/>
    <w:pPr>
      <w:autoSpaceDE w:val="0"/>
      <w:autoSpaceDN w:val="0"/>
      <w:ind w:right="128"/>
      <w:jc w:val="center"/>
      <w:outlineLvl w:val="0"/>
    </w:pPr>
    <w:rPr>
      <w:rFonts w:ascii="方正小标宋简体" w:hAnsi="方正小标宋简体" w:eastAsia="方正小标宋简体" w:cs="方正小标宋简体"/>
      <w:b/>
      <w:bCs/>
      <w:kern w:val="0"/>
      <w:sz w:val="44"/>
      <w:szCs w:val="44"/>
      <w:lang w:val="zh-CN" w:bidi="zh-CN"/>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Body Text"/>
    <w:basedOn w:val="1"/>
    <w:qFormat/>
    <w:uiPriority w:val="1"/>
    <w:pPr>
      <w:ind w:left="526"/>
    </w:pPr>
    <w:rPr>
      <w:sz w:val="32"/>
      <w:szCs w:val="32"/>
    </w:rPr>
  </w:style>
  <w:style w:type="paragraph" w:styleId="5">
    <w:name w:val="Balloon Text"/>
    <w:basedOn w:val="1"/>
    <w:link w:val="16"/>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rPr>
      <w:rFonts w:ascii="Calibri" w:hAnsi="Calibri" w:eastAsia="宋体" w:cs="Times New Roman"/>
    </w:rPr>
  </w:style>
  <w:style w:type="character" w:customStyle="1" w:styleId="11">
    <w:name w:val="页眉 Char"/>
    <w:basedOn w:val="10"/>
    <w:link w:val="7"/>
    <w:qFormat/>
    <w:uiPriority w:val="0"/>
    <w:rPr>
      <w:kern w:val="2"/>
      <w:sz w:val="18"/>
      <w:szCs w:val="18"/>
    </w:rPr>
  </w:style>
  <w:style w:type="character" w:customStyle="1" w:styleId="12">
    <w:name w:val="页脚 Char"/>
    <w:basedOn w:val="10"/>
    <w:link w:val="6"/>
    <w:qFormat/>
    <w:uiPriority w:val="99"/>
    <w:rPr>
      <w:kern w:val="2"/>
      <w:sz w:val="18"/>
      <w:szCs w:val="24"/>
    </w:rPr>
  </w:style>
  <w:style w:type="paragraph" w:customStyle="1" w:styleId="13">
    <w:name w:val="UserStyle_0"/>
    <w:basedOn w:val="1"/>
    <w:qFormat/>
    <w:uiPriority w:val="0"/>
    <w:pPr>
      <w:ind w:left="420" w:leftChars="200"/>
      <w:textAlignment w:val="baseline"/>
    </w:pPr>
    <w:rPr>
      <w:rFonts w:ascii="Calibri" w:hAnsi="Calibri" w:eastAsia="宋体" w:cs="Times New Roman"/>
    </w:rPr>
  </w:style>
  <w:style w:type="character" w:customStyle="1" w:styleId="14">
    <w:name w:val="标题 1 Char"/>
    <w:basedOn w:val="10"/>
    <w:link w:val="3"/>
    <w:qFormat/>
    <w:uiPriority w:val="1"/>
    <w:rPr>
      <w:rFonts w:ascii="方正小标宋简体" w:hAnsi="方正小标宋简体" w:eastAsia="方正小标宋简体" w:cs="方正小标宋简体"/>
      <w:b/>
      <w:bCs/>
      <w:sz w:val="44"/>
      <w:szCs w:val="44"/>
      <w:lang w:val="zh-CN" w:bidi="zh-CN"/>
    </w:rPr>
  </w:style>
  <w:style w:type="paragraph" w:customStyle="1" w:styleId="15">
    <w:name w:val="Table Paragraph"/>
    <w:basedOn w:val="1"/>
    <w:qFormat/>
    <w:uiPriority w:val="0"/>
    <w:pPr>
      <w:autoSpaceDE w:val="0"/>
      <w:autoSpaceDN w:val="0"/>
      <w:jc w:val="left"/>
    </w:pPr>
    <w:rPr>
      <w:rFonts w:ascii="宋体" w:hAnsi="宋体" w:eastAsia="宋体" w:cs="宋体"/>
      <w:kern w:val="0"/>
      <w:sz w:val="22"/>
      <w:szCs w:val="22"/>
    </w:rPr>
  </w:style>
  <w:style w:type="character" w:customStyle="1" w:styleId="16">
    <w:name w:val="批注框文本 Char"/>
    <w:basedOn w:val="10"/>
    <w:link w:val="5"/>
    <w:qFormat/>
    <w:uiPriority w:val="0"/>
    <w:rPr>
      <w:kern w:val="2"/>
      <w:sz w:val="18"/>
      <w:szCs w:val="18"/>
    </w:rPr>
  </w:style>
  <w:style w:type="paragraph" w:customStyle="1" w:styleId="17">
    <w:name w:val="List Paragraph"/>
    <w:basedOn w:val="1"/>
    <w:qFormat/>
    <w:uiPriority w:val="0"/>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6"/>
    <customShpInfo spid="_x0000_s2060"/>
    <customShpInfo spid="_x0000_s2058"/>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6926</Words>
  <Characters>7307</Characters>
  <Lines>153</Lines>
  <Paragraphs>43</Paragraphs>
  <TotalTime>9</TotalTime>
  <ScaleCrop>false</ScaleCrop>
  <LinksUpToDate>false</LinksUpToDate>
  <CharactersWithSpaces>7448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2023-05-17T06:48:00Z</dcterms:created>
  <dc:creator>Administrator</dc:creator>
  <cp:lastModifiedBy>user</cp:lastModifiedBy>
  <cp:lastPrinted>2023-06-07T15:01:00Z</cp:lastPrinted>
  <dcterms:modified xsi:type="dcterms:W3CDTF">2023-11-20T13:29:35Z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959A1AAC2C454891B5EB1E261E66F4E5_12</vt:lpwstr>
  </property>
</Properties>
</file>