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outlineLvl w:val="0"/>
        <w:rPr>
          <w:rFonts w:hint="eastAsia" w:eastAsia="方正小标宋简体" w:cs="Times New Roman"/>
          <w:b/>
          <w:color w:val="000000"/>
          <w:sz w:val="44"/>
          <w:szCs w:val="44"/>
          <w:lang w:val="en-US" w:eastAsia="zh-CN"/>
        </w:rPr>
      </w:pPr>
      <w:r>
        <w:rPr>
          <w:rFonts w:hint="eastAsia" w:eastAsia="方正小标宋简体" w:cs="Times New Roman"/>
          <w:b/>
          <w:color w:val="000000"/>
          <w:sz w:val="44"/>
          <w:szCs w:val="44"/>
          <w:lang w:val="en-US" w:eastAsia="zh-CN"/>
        </w:rPr>
        <w:t>曲阜市鲁城街道办事处</w:t>
      </w: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2022年政府信息公开工作年度报告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鲁城街道办事处</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w:t>
      </w:r>
      <w:r>
        <w:rPr>
          <w:rFonts w:hint="default"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default" w:ascii="Times New Roman" w:hAnsi="Times New Roman" w:eastAsia="方正仿宋简体" w:cs="Times New Roman"/>
          <w:b/>
          <w:color w:val="000000"/>
          <w:sz w:val="32"/>
          <w:szCs w:val="32"/>
          <w:lang w:val="en-US" w:eastAsia="zh-CN"/>
        </w:rPr>
        <w:t>鲁城街道办事处</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曲阜市春秋路11号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4497500</w:t>
      </w:r>
      <w:r>
        <w:rPr>
          <w:rFonts w:hint="default" w:ascii="Times New Roman" w:hAnsi="Times New Roman" w:eastAsia="方正仿宋简体" w:cs="Times New Roman"/>
          <w:b/>
          <w:color w:val="000000"/>
          <w:sz w:val="32"/>
          <w:szCs w:val="32"/>
        </w:rPr>
        <w:t>）。</w:t>
      </w:r>
    </w:p>
    <w:p>
      <w:pPr>
        <w:spacing w:line="590" w:lineRule="exact"/>
        <w:ind w:right="-96" w:rightChars="-50" w:firstLine="624"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一、总体情况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w:t>
      </w:r>
      <w:r>
        <w:rPr>
          <w:rFonts w:hint="default" w:ascii="Times New Roman" w:hAnsi="Times New Roman" w:eastAsia="方正仿宋简体" w:cs="Times New Roman"/>
          <w:b/>
          <w:color w:val="000000"/>
          <w:sz w:val="32"/>
          <w:szCs w:val="32"/>
          <w:lang w:val="en-US" w:eastAsia="zh-CN"/>
        </w:rPr>
        <w:t>鲁城街道</w:t>
      </w:r>
      <w:r>
        <w:rPr>
          <w:rFonts w:hint="default" w:ascii="Times New Roman" w:hAnsi="Times New Roman" w:eastAsia="方正仿宋简体" w:cs="Times New Roman"/>
          <w:b/>
          <w:color w:val="000000"/>
          <w:sz w:val="32"/>
          <w:szCs w:val="32"/>
        </w:rPr>
        <w:t>坚持以习近平新时代中国特色社会主义思想为指导，立足新发展阶段、贯彻新发展理念、构建新发展格局，坚持以人民为中心，紧紧围绕市委、市政府中心工作，注重发挥以公开促落实、促规范、促服务的作用，全过程推进政务公开，全方位回应社会关切，全流程优化政务服务，全链条加强政务信息管理，全环节夯实工作基础，持续做好信息发布、解读回应、政民互动、平台建设，政务公开制度化、标准化、信息化水平明显提升。</w:t>
      </w:r>
      <w:r>
        <w:rPr>
          <w:rFonts w:hint="default" w:ascii="Times New Roman" w:hAnsi="Times New Roman" w:eastAsia="方正仿宋简体" w:cs="Times New Roman"/>
          <w:b/>
          <w:color w:val="000000"/>
          <w:sz w:val="32"/>
          <w:szCs w:val="32"/>
          <w:lang w:val="en-US" w:eastAsia="zh-CN"/>
        </w:rPr>
        <w:t>鲁城</w:t>
      </w:r>
      <w:r>
        <w:rPr>
          <w:rFonts w:hint="default" w:ascii="Times New Roman" w:hAnsi="Times New Roman" w:eastAsia="方正仿宋简体" w:cs="Times New Roman"/>
          <w:b/>
          <w:color w:val="000000"/>
          <w:sz w:val="32"/>
          <w:szCs w:val="32"/>
        </w:rPr>
        <w:t>街道贯彻落实上级政府关于政务信息公开各项规定，加强组织领导，健全工作机制，提高信息公开工作能力，及时、准确地向社会公开政务服务信息。具体如下：</w:t>
      </w:r>
    </w:p>
    <w:p>
      <w:pPr>
        <w:spacing w:line="590" w:lineRule="exact"/>
        <w:ind w:right="-96" w:rightChars="-50" w:firstLine="624"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（一）主动公开情况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鲁城</w:t>
      </w:r>
      <w:r>
        <w:rPr>
          <w:rFonts w:hint="default" w:ascii="Times New Roman" w:hAnsi="Times New Roman" w:eastAsia="方正仿宋简体" w:cs="Times New Roman"/>
          <w:b/>
          <w:color w:val="000000"/>
          <w:sz w:val="32"/>
          <w:szCs w:val="32"/>
        </w:rPr>
        <w:t>街道把政务信息主动公开作为推进依法行政的重要手段，严格落实政务工作决策公开、执行公开、管理公开、服务公开、结果公开的“五公开”制度。兼顾街道年度中心工作、重点项目以及各项常规任务，提前理清政务公开工作重点，真实、准确、完整地做好主动公开工作。</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444500</wp:posOffset>
            </wp:positionH>
            <wp:positionV relativeFrom="paragraph">
              <wp:posOffset>1586865</wp:posOffset>
            </wp:positionV>
            <wp:extent cx="4715510" cy="2480945"/>
            <wp:effectExtent l="0" t="0" r="8890" b="317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仿宋简体" w:cs="Times New Roman"/>
          <w:b/>
          <w:color w:val="000000"/>
          <w:sz w:val="32"/>
          <w:szCs w:val="32"/>
        </w:rPr>
        <w:t>2022年，</w:t>
      </w:r>
      <w:r>
        <w:rPr>
          <w:rFonts w:hint="default" w:ascii="Times New Roman" w:hAnsi="Times New Roman" w:eastAsia="方正仿宋简体" w:cs="Times New Roman"/>
          <w:b/>
          <w:color w:val="000000"/>
          <w:sz w:val="32"/>
          <w:szCs w:val="32"/>
          <w:lang w:val="en-US" w:eastAsia="zh-CN"/>
        </w:rPr>
        <w:t>鲁城</w:t>
      </w:r>
      <w:r>
        <w:rPr>
          <w:rFonts w:hint="default" w:ascii="Times New Roman" w:hAnsi="Times New Roman" w:eastAsia="方正仿宋简体" w:cs="Times New Roman"/>
          <w:b/>
          <w:color w:val="000000"/>
          <w:sz w:val="32"/>
          <w:szCs w:val="32"/>
        </w:rPr>
        <w:t>街道通过政府门户网站主动公开各类政府信息</w:t>
      </w:r>
      <w:r>
        <w:rPr>
          <w:rFonts w:hint="default" w:ascii="Times New Roman" w:hAnsi="Times New Roman" w:eastAsia="方正仿宋简体" w:cs="Times New Roman"/>
          <w:b/>
          <w:color w:val="000000"/>
          <w:sz w:val="32"/>
          <w:szCs w:val="32"/>
          <w:lang w:val="en-US" w:eastAsia="zh-CN"/>
        </w:rPr>
        <w:t>139</w:t>
      </w:r>
      <w:r>
        <w:rPr>
          <w:rFonts w:hint="default" w:ascii="Times New Roman" w:hAnsi="Times New Roman" w:eastAsia="方正仿宋简体" w:cs="Times New Roman"/>
          <w:b/>
          <w:color w:val="000000"/>
          <w:sz w:val="32"/>
          <w:szCs w:val="32"/>
        </w:rPr>
        <w:t>篇（条）。内容包括组织机构职能、部门文件及政策解读、</w:t>
      </w:r>
      <w:r>
        <w:rPr>
          <w:rFonts w:hint="default" w:ascii="Times New Roman" w:hAnsi="Times New Roman" w:eastAsia="方正仿宋简体" w:cs="Times New Roman"/>
          <w:b/>
          <w:color w:val="000000"/>
          <w:sz w:val="32"/>
          <w:szCs w:val="32"/>
          <w:lang w:val="en-US" w:eastAsia="zh-CN"/>
        </w:rPr>
        <w:t>重大政策转载</w:t>
      </w:r>
      <w:r>
        <w:rPr>
          <w:rFonts w:hint="default" w:ascii="Times New Roman" w:hAnsi="Times New Roman" w:eastAsia="方正仿宋简体" w:cs="Times New Roman"/>
          <w:b/>
          <w:color w:val="000000"/>
          <w:sz w:val="32"/>
          <w:szCs w:val="32"/>
        </w:rPr>
        <w:t>、部门财政预决算、</w:t>
      </w:r>
      <w:r>
        <w:rPr>
          <w:rFonts w:hint="default" w:ascii="Times New Roman" w:hAnsi="Times New Roman" w:eastAsia="方正仿宋简体" w:cs="Times New Roman"/>
          <w:b/>
          <w:color w:val="000000"/>
          <w:sz w:val="32"/>
          <w:szCs w:val="32"/>
          <w:lang w:val="en-US" w:eastAsia="zh-CN"/>
        </w:rPr>
        <w:t>规划计划</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政府信息公开</w:t>
      </w:r>
      <w:r>
        <w:rPr>
          <w:rFonts w:hint="default" w:ascii="Times New Roman" w:hAnsi="Times New Roman" w:eastAsia="方正仿宋简体" w:cs="Times New Roman"/>
          <w:b/>
          <w:color w:val="000000"/>
          <w:sz w:val="32"/>
          <w:szCs w:val="32"/>
        </w:rPr>
        <w:t>指南、会议公开等信息</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占比情况见下图</w:t>
      </w:r>
      <w:r>
        <w:rPr>
          <w:rFonts w:hint="default" w:ascii="Times New Roman" w:hAnsi="Times New Roman" w:eastAsia="方正仿宋简体" w:cs="Times New Roman"/>
          <w:b/>
          <w:color w:val="000000"/>
          <w:sz w:val="32"/>
          <w:szCs w:val="32"/>
        </w:rPr>
        <w:t>。</w:t>
      </w:r>
    </w:p>
    <w:p>
      <w:pPr>
        <w:spacing w:line="590" w:lineRule="exact"/>
        <w:ind w:right="-96" w:rightChars="-50" w:firstLine="624"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（二）依申请公开情况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2022年度</w:t>
      </w:r>
      <w:r>
        <w:rPr>
          <w:rFonts w:hint="eastAsia" w:eastAsia="方正仿宋简体" w:cs="Times New Roman"/>
          <w:b/>
          <w:color w:val="000000"/>
          <w:sz w:val="32"/>
          <w:szCs w:val="32"/>
          <w:lang w:val="en-US" w:eastAsia="zh-CN"/>
        </w:rPr>
        <w:t>办理</w:t>
      </w:r>
      <w:r>
        <w:rPr>
          <w:rFonts w:hint="default" w:ascii="Times New Roman" w:hAnsi="Times New Roman" w:eastAsia="方正仿宋简体" w:cs="Times New Roman"/>
          <w:b/>
          <w:color w:val="000000"/>
          <w:sz w:val="32"/>
          <w:szCs w:val="32"/>
        </w:rPr>
        <w:t>政府信息公开申请</w:t>
      </w:r>
      <w:r>
        <w:rPr>
          <w:rFonts w:hint="default" w:ascii="Times New Roman" w:hAnsi="Times New Roman"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条</w:t>
      </w:r>
      <w:r>
        <w:rPr>
          <w:rFonts w:hint="default" w:ascii="Times New Roman" w:hAnsi="Times New Roman" w:eastAsia="方正仿宋简体" w:cs="Times New Roman"/>
          <w:b/>
          <w:color w:val="000000"/>
          <w:sz w:val="32"/>
          <w:szCs w:val="32"/>
          <w:lang w:eastAsia="zh-CN"/>
        </w:rPr>
        <w:t>，与去年相比减少依申请公开</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eastAsia="zh-CN"/>
        </w:rPr>
        <w:t>件次</w:t>
      </w:r>
      <w:r>
        <w:rPr>
          <w:rFonts w:hint="default" w:ascii="Times New Roman" w:hAnsi="Times New Roman" w:eastAsia="方正仿宋简体" w:cs="Times New Roman"/>
          <w:b/>
          <w:color w:val="000000"/>
          <w:sz w:val="32"/>
          <w:szCs w:val="32"/>
        </w:rPr>
        <w:t>。均按时进行了答复，未收取任何费用，受到行政复议、行政诉讼</w:t>
      </w:r>
      <w:r>
        <w:rPr>
          <w:rFonts w:hint="default" w:ascii="Times New Roman" w:hAnsi="Times New Roman" w:eastAsia="方正仿宋简体" w:cs="Times New Roman"/>
          <w:b/>
          <w:color w:val="000000"/>
          <w:sz w:val="32"/>
          <w:szCs w:val="32"/>
          <w:lang w:val="en-US" w:eastAsia="zh-CN"/>
        </w:rPr>
        <w:t>0</w:t>
      </w:r>
      <w:r>
        <w:rPr>
          <w:rFonts w:hint="default" w:ascii="Times New Roman" w:hAnsi="Times New Roman" w:eastAsia="方正仿宋简体" w:cs="Times New Roman"/>
          <w:b/>
          <w:color w:val="000000"/>
          <w:sz w:val="32"/>
          <w:szCs w:val="32"/>
        </w:rPr>
        <w:t>条。</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eastAsia="zh-CN"/>
        </w:rPr>
        <w:drawing>
          <wp:anchor distT="0" distB="0" distL="114300" distR="114300" simplePos="0" relativeHeight="251660288" behindDoc="0" locked="0" layoutInCell="1" allowOverlap="1">
            <wp:simplePos x="0" y="0"/>
            <wp:positionH relativeFrom="column">
              <wp:posOffset>240030</wp:posOffset>
            </wp:positionH>
            <wp:positionV relativeFrom="paragraph">
              <wp:posOffset>234950</wp:posOffset>
            </wp:positionV>
            <wp:extent cx="5409565" cy="3166745"/>
            <wp:effectExtent l="0" t="0" r="635" b="3175"/>
            <wp:wrapTopAndBottom/>
            <wp:docPr id="2" name="图表 2" descr="7b0a202020202263686172745265734964223a2022343338363731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90" w:lineRule="exact"/>
        <w:ind w:right="-96" w:rightChars="-50" w:firstLine="624"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（三）政府信息管理情况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鲁城</w:t>
      </w:r>
      <w:r>
        <w:rPr>
          <w:rFonts w:hint="default" w:ascii="Times New Roman" w:hAnsi="Times New Roman" w:eastAsia="方正仿宋简体" w:cs="Times New Roman"/>
          <w:b/>
          <w:color w:val="000000"/>
          <w:sz w:val="32"/>
          <w:szCs w:val="32"/>
        </w:rPr>
        <w:t>街道办事处按照《中华人民共和国政府信息公开条例》及上级政务公开工作有关要求，认真贯彻落实政务公开各项工作。</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及时调整政务公开工作机构。充实政务公开工作领导小组工作成员，将政务公开涉及事项尤其是涉及为民服务事项各分管领导纳入政务公开领导小组中来，进一步凝聚领导小组的工作合力，为群众提供更优质的政务信息公开服务。</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加强政务公开培训工作。在参加好上级业务培训的基础上，街道每季度召开一次政务公开业务推进会，不断提升工作人员业务水平。</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充实政务公开工作力量。吸收街道新进年轻同志为政务公开工作人员，在工作环境、硬件设施、软件提升上给予大力支持，为政务公开工作提供各方面支撑。</w:t>
      </w:r>
    </w:p>
    <w:p>
      <w:pPr>
        <w:spacing w:line="590" w:lineRule="exact"/>
        <w:ind w:right="-96" w:rightChars="-50" w:firstLine="624"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（四）政府信息公开平台建设情况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按照便民惠民、优化服务的工作原则，创新工作方式方法，丰富政务公开载体，积极创新政务公开的新载体、新形式。</w:t>
      </w:r>
      <w:r>
        <w:rPr>
          <w:rFonts w:hint="default" w:ascii="Times New Roman" w:hAnsi="Times New Roman" w:eastAsia="方正仿宋简体" w:cs="Times New Roman"/>
          <w:b/>
          <w:color w:val="000000"/>
          <w:sz w:val="32"/>
          <w:szCs w:val="32"/>
          <w:lang w:val="en-US" w:eastAsia="zh-CN"/>
        </w:rPr>
        <w:t>通过</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今日鲁城”官方</w:t>
      </w:r>
      <w:r>
        <w:rPr>
          <w:rFonts w:hint="default" w:ascii="Times New Roman" w:hAnsi="Times New Roman" w:eastAsia="方正仿宋简体" w:cs="Times New Roman"/>
          <w:b/>
          <w:color w:val="000000"/>
          <w:sz w:val="32"/>
          <w:szCs w:val="32"/>
        </w:rPr>
        <w:t>公众号，方便群众</w:t>
      </w:r>
      <w:r>
        <w:rPr>
          <w:rFonts w:hint="default" w:ascii="Times New Roman" w:hAnsi="Times New Roman" w:eastAsia="方正仿宋简体" w:cs="Times New Roman"/>
          <w:b/>
          <w:color w:val="000000"/>
          <w:sz w:val="32"/>
          <w:szCs w:val="32"/>
          <w:lang w:val="en-US" w:eastAsia="zh-CN"/>
        </w:rPr>
        <w:t>能够及时理解</w:t>
      </w:r>
      <w:r>
        <w:rPr>
          <w:rFonts w:hint="default" w:ascii="Times New Roman" w:hAnsi="Times New Roman" w:eastAsia="方正仿宋简体" w:cs="Times New Roman"/>
          <w:b/>
          <w:color w:val="000000"/>
          <w:sz w:val="32"/>
          <w:szCs w:val="32"/>
        </w:rPr>
        <w:t>街道发展</w:t>
      </w:r>
      <w:r>
        <w:rPr>
          <w:rFonts w:hint="default" w:ascii="Times New Roman" w:hAnsi="Times New Roman" w:eastAsia="方正仿宋简体" w:cs="Times New Roman"/>
          <w:b/>
          <w:color w:val="000000"/>
          <w:sz w:val="32"/>
          <w:szCs w:val="32"/>
          <w:lang w:val="en-US" w:eastAsia="zh-CN"/>
        </w:rPr>
        <w:t>和惠民惠企政策</w:t>
      </w:r>
      <w:r>
        <w:rPr>
          <w:rFonts w:hint="default" w:ascii="Times New Roman" w:hAnsi="Times New Roman" w:eastAsia="方正仿宋简体" w:cs="Times New Roman"/>
          <w:b/>
          <w:color w:val="000000"/>
          <w:sz w:val="32"/>
          <w:szCs w:val="32"/>
        </w:rPr>
        <w:t>。在为民服务中心设立政务公开专区，</w:t>
      </w:r>
      <w:r>
        <w:rPr>
          <w:rFonts w:hint="default" w:ascii="Times New Roman" w:hAnsi="Times New Roman" w:eastAsia="方正仿宋简体" w:cs="Times New Roman"/>
          <w:b/>
          <w:color w:val="000000"/>
          <w:sz w:val="32"/>
          <w:szCs w:val="32"/>
          <w:lang w:val="en-US" w:eastAsia="zh-CN"/>
        </w:rPr>
        <w:t>同时依托</w:t>
      </w:r>
      <w:r>
        <w:rPr>
          <w:rFonts w:hint="default" w:ascii="Times New Roman" w:hAnsi="Times New Roman" w:eastAsia="方正仿宋简体" w:cs="Times New Roman"/>
          <w:b/>
          <w:color w:val="000000"/>
          <w:sz w:val="32"/>
          <w:szCs w:val="32"/>
          <w:lang w:eastAsia="zh-CN"/>
        </w:rPr>
        <w:t>“社区＋合作社＋网格+微网格”基层社会治理新模式，</w:t>
      </w:r>
      <w:r>
        <w:rPr>
          <w:rFonts w:hint="default" w:ascii="Times New Roman" w:hAnsi="Times New Roman" w:eastAsia="方正仿宋简体" w:cs="Times New Roman"/>
          <w:b/>
          <w:color w:val="000000"/>
          <w:sz w:val="32"/>
          <w:szCs w:val="32"/>
        </w:rPr>
        <w:t>进一步发挥政务公开便民服务的根本宗旨，多渠道畅通群众知情方式。</w:t>
      </w:r>
    </w:p>
    <w:p>
      <w:pPr>
        <w:spacing w:line="590" w:lineRule="exact"/>
        <w:ind w:right="-96" w:rightChars="-50" w:firstLine="624"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（五）监督保障情况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组织工作人员深入学习《中华人民共和国政府信息公开条例》，坚持政务公开工作依法依规、合法公开。常态化整合、梳理街道日常政务信息，及时归纳分类，坚持应公尽公，便民惠民。坚持严格把关，规范化、制度化推进公开。依据《保守国家秘密法》等相关法律法规规定，严把法律关、政策关、文字关和保密关，确保了职责范围内主动公开的政府信息的全面、及时、准确、规范。</w:t>
      </w:r>
    </w:p>
    <w:p>
      <w:pPr>
        <w:spacing w:line="590" w:lineRule="exact"/>
        <w:ind w:right="-96" w:rightChars="-50" w:firstLine="624" w:firstLineChars="200"/>
        <w:rPr>
          <w:rFonts w:hint="eastAsia" w:ascii="方正黑体简体" w:hAnsi="方正黑体简体" w:eastAsia="方正黑体简体" w:cs="方正黑体简体"/>
          <w:b/>
          <w:color w:val="000000"/>
          <w:sz w:val="32"/>
          <w:szCs w:val="32"/>
        </w:rPr>
      </w:pPr>
      <w:r>
        <w:rPr>
          <w:rFonts w:hint="eastAsia" w:ascii="方正黑体简体" w:hAnsi="方正黑体简体" w:eastAsia="方正黑体简体" w:cs="方正黑体简体"/>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8"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规章</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bidi="ar"/>
              </w:rPr>
              <w:t>行政事业性收费</w:t>
            </w:r>
          </w:p>
        </w:tc>
        <w:tc>
          <w:tcPr>
            <w:tcW w:w="6338" w:type="dxa"/>
            <w:gridSpan w:val="3"/>
            <w:shd w:val="clear" w:color="auto" w:fill="auto"/>
            <w:tcMar>
              <w:left w:w="57" w:type="dxa"/>
              <w:right w:w="57" w:type="dxa"/>
            </w:tcMar>
            <w:vAlign w:val="center"/>
          </w:tcPr>
          <w:p>
            <w:pPr>
              <w:spacing w:line="340" w:lineRule="exact"/>
              <w:jc w:val="center"/>
              <w:rPr>
                <w:rFonts w:hint="default" w:ascii="Times New Roman" w:hAnsi="Times New Roman" w:eastAsia="方正仿宋简体" w:cs="Times New Roman"/>
                <w:b/>
                <w:sz w:val="24"/>
                <w:lang w:val="en-US" w:eastAsia="zh-CN"/>
              </w:rPr>
            </w:pPr>
            <w:r>
              <w:rPr>
                <w:rFonts w:hint="default" w:ascii="Times New Roman" w:hAnsi="Times New Roman" w:eastAsia="方正仿宋简体" w:cs="Times New Roman"/>
                <w:b/>
                <w:sz w:val="24"/>
                <w:lang w:val="en-US" w:eastAsia="zh-CN"/>
              </w:rPr>
              <w:t>0</w:t>
            </w:r>
          </w:p>
        </w:tc>
      </w:tr>
    </w:tbl>
    <w:p>
      <w:pPr>
        <w:spacing w:before="62" w:beforeLines="10" w:after="62" w:afterLines="10" w:line="600" w:lineRule="exact"/>
        <w:ind w:firstLine="624"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仿宋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商业</w:t>
            </w: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科研</w:t>
            </w: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3</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3</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pPr>
        <w:spacing w:line="590" w:lineRule="exact"/>
        <w:ind w:right="-96" w:rightChars="-50" w:firstLine="624"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jc w:val="center"/>
        </w:trPr>
        <w:tc>
          <w:tcPr>
            <w:tcW w:w="2888" w:type="dxa"/>
            <w:gridSpan w:val="5"/>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行政复议</w:t>
            </w:r>
          </w:p>
        </w:tc>
        <w:tc>
          <w:tcPr>
            <w:tcW w:w="5922" w:type="dxa"/>
            <w:gridSpan w:val="10"/>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615" w:type="dxa"/>
            <w:vMerge w:val="restart"/>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结果维持</w:t>
            </w:r>
          </w:p>
        </w:tc>
        <w:tc>
          <w:tcPr>
            <w:tcW w:w="621" w:type="dxa"/>
            <w:vMerge w:val="restart"/>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lang w:bidi="ar"/>
              </w:rPr>
            </w:pPr>
            <w:r>
              <w:rPr>
                <w:rFonts w:hint="eastAsia" w:ascii="方正仿宋简体" w:hAnsi="方正仿宋简体" w:eastAsia="方正仿宋简体" w:cs="方正仿宋简体"/>
                <w:b/>
                <w:bCs/>
                <w:sz w:val="21"/>
                <w:szCs w:val="21"/>
                <w:lang w:bidi="ar"/>
              </w:rPr>
              <w:t>结果</w:t>
            </w:r>
          </w:p>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纠正</w:t>
            </w:r>
          </w:p>
        </w:tc>
        <w:tc>
          <w:tcPr>
            <w:tcW w:w="600" w:type="dxa"/>
            <w:vMerge w:val="restart"/>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其他</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结果</w:t>
            </w:r>
          </w:p>
        </w:tc>
        <w:tc>
          <w:tcPr>
            <w:tcW w:w="591" w:type="dxa"/>
            <w:vMerge w:val="restart"/>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尚未</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审结</w:t>
            </w:r>
          </w:p>
        </w:tc>
        <w:tc>
          <w:tcPr>
            <w:tcW w:w="461" w:type="dxa"/>
            <w:vMerge w:val="restart"/>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总计</w:t>
            </w:r>
          </w:p>
        </w:tc>
        <w:tc>
          <w:tcPr>
            <w:tcW w:w="3010" w:type="dxa"/>
            <w:gridSpan w:val="5"/>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未经复议直接起诉</w:t>
            </w:r>
          </w:p>
        </w:tc>
        <w:tc>
          <w:tcPr>
            <w:tcW w:w="2912" w:type="dxa"/>
            <w:gridSpan w:val="5"/>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615" w:type="dxa"/>
            <w:vMerge w:val="continue"/>
            <w:tcMar>
              <w:left w:w="108" w:type="dxa"/>
              <w:right w:w="108" w:type="dxa"/>
            </w:tcMar>
            <w:vAlign w:val="center"/>
          </w:tcPr>
          <w:p>
            <w:pPr>
              <w:spacing w:line="340" w:lineRule="exact"/>
              <w:ind w:left="-38" w:leftChars="-20" w:right="-38" w:rightChars="-20"/>
              <w:rPr>
                <w:rFonts w:hint="eastAsia" w:ascii="方正仿宋简体" w:hAnsi="方正仿宋简体" w:eastAsia="方正仿宋简体" w:cs="方正仿宋简体"/>
                <w:b/>
                <w:bCs/>
                <w:sz w:val="21"/>
                <w:szCs w:val="21"/>
              </w:rPr>
            </w:pPr>
          </w:p>
        </w:tc>
        <w:tc>
          <w:tcPr>
            <w:tcW w:w="621" w:type="dxa"/>
            <w:vMerge w:val="continue"/>
            <w:tcMar>
              <w:left w:w="108" w:type="dxa"/>
              <w:right w:w="108" w:type="dxa"/>
            </w:tcMar>
            <w:vAlign w:val="center"/>
          </w:tcPr>
          <w:p>
            <w:pPr>
              <w:spacing w:line="340" w:lineRule="exact"/>
              <w:ind w:left="-38" w:leftChars="-20" w:right="-38" w:rightChars="-20"/>
              <w:rPr>
                <w:rFonts w:hint="eastAsia" w:ascii="方正仿宋简体" w:hAnsi="方正仿宋简体" w:eastAsia="方正仿宋简体" w:cs="方正仿宋简体"/>
                <w:b/>
                <w:bCs/>
                <w:sz w:val="21"/>
                <w:szCs w:val="21"/>
              </w:rPr>
            </w:pPr>
          </w:p>
        </w:tc>
        <w:tc>
          <w:tcPr>
            <w:tcW w:w="600" w:type="dxa"/>
            <w:vMerge w:val="continue"/>
            <w:tcMar>
              <w:left w:w="108" w:type="dxa"/>
              <w:right w:w="108" w:type="dxa"/>
            </w:tcMar>
            <w:vAlign w:val="center"/>
          </w:tcPr>
          <w:p>
            <w:pPr>
              <w:spacing w:line="340" w:lineRule="exact"/>
              <w:ind w:left="-38" w:leftChars="-20" w:right="-38" w:rightChars="-20"/>
              <w:rPr>
                <w:rFonts w:hint="eastAsia" w:ascii="方正仿宋简体" w:hAnsi="方正仿宋简体" w:eastAsia="方正仿宋简体" w:cs="方正仿宋简体"/>
                <w:b/>
                <w:bCs/>
                <w:sz w:val="21"/>
                <w:szCs w:val="21"/>
              </w:rPr>
            </w:pPr>
          </w:p>
        </w:tc>
        <w:tc>
          <w:tcPr>
            <w:tcW w:w="591" w:type="dxa"/>
            <w:vMerge w:val="continue"/>
            <w:tcMar>
              <w:left w:w="108" w:type="dxa"/>
              <w:right w:w="108" w:type="dxa"/>
            </w:tcMar>
            <w:vAlign w:val="center"/>
          </w:tcPr>
          <w:p>
            <w:pPr>
              <w:spacing w:line="340" w:lineRule="exact"/>
              <w:ind w:left="-38" w:leftChars="-20" w:right="-38" w:rightChars="-20"/>
              <w:rPr>
                <w:rFonts w:hint="eastAsia" w:ascii="方正仿宋简体" w:hAnsi="方正仿宋简体" w:eastAsia="方正仿宋简体" w:cs="方正仿宋简体"/>
                <w:b/>
                <w:bCs/>
                <w:sz w:val="21"/>
                <w:szCs w:val="21"/>
              </w:rPr>
            </w:pPr>
          </w:p>
        </w:tc>
        <w:tc>
          <w:tcPr>
            <w:tcW w:w="461" w:type="dxa"/>
            <w:vMerge w:val="continue"/>
            <w:tcMar>
              <w:left w:w="108" w:type="dxa"/>
              <w:right w:w="108" w:type="dxa"/>
            </w:tcMar>
            <w:vAlign w:val="center"/>
          </w:tcPr>
          <w:p>
            <w:pPr>
              <w:spacing w:line="340" w:lineRule="exact"/>
              <w:ind w:left="-38" w:leftChars="-20" w:right="-38" w:rightChars="-20"/>
              <w:rPr>
                <w:rFonts w:hint="eastAsia" w:ascii="方正仿宋简体" w:hAnsi="方正仿宋简体" w:eastAsia="方正仿宋简体" w:cs="方正仿宋简体"/>
                <w:b/>
                <w:bCs/>
                <w:sz w:val="21"/>
                <w:szCs w:val="21"/>
              </w:rPr>
            </w:pPr>
          </w:p>
        </w:tc>
        <w:tc>
          <w:tcPr>
            <w:tcW w:w="649"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结果</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维持</w:t>
            </w:r>
          </w:p>
        </w:tc>
        <w:tc>
          <w:tcPr>
            <w:tcW w:w="649"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结果</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其他</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结果</w:t>
            </w:r>
          </w:p>
        </w:tc>
        <w:tc>
          <w:tcPr>
            <w:tcW w:w="636"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尚未</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审结</w:t>
            </w:r>
          </w:p>
        </w:tc>
        <w:tc>
          <w:tcPr>
            <w:tcW w:w="426"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总计</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结果</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维持</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结果</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纠正</w:t>
            </w:r>
          </w:p>
        </w:tc>
        <w:tc>
          <w:tcPr>
            <w:tcW w:w="650"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其他</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结果</w:t>
            </w:r>
          </w:p>
        </w:tc>
        <w:tc>
          <w:tcPr>
            <w:tcW w:w="555"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尚未</w:t>
            </w:r>
            <w:r>
              <w:rPr>
                <w:rFonts w:hint="eastAsia" w:ascii="方正仿宋简体" w:hAnsi="方正仿宋简体" w:eastAsia="方正仿宋简体" w:cs="方正仿宋简体"/>
                <w:b/>
                <w:bCs/>
                <w:sz w:val="21"/>
                <w:szCs w:val="21"/>
                <w:lang w:bidi="ar"/>
              </w:rPr>
              <w:br w:type="textWrapping"/>
            </w:r>
            <w:r>
              <w:rPr>
                <w:rFonts w:hint="eastAsia" w:ascii="方正仿宋简体" w:hAnsi="方正仿宋简体" w:eastAsia="方正仿宋简体" w:cs="方正仿宋简体"/>
                <w:b/>
                <w:bCs/>
                <w:sz w:val="21"/>
                <w:szCs w:val="21"/>
                <w:lang w:bidi="ar"/>
              </w:rPr>
              <w:t>审结</w:t>
            </w:r>
          </w:p>
        </w:tc>
        <w:tc>
          <w:tcPr>
            <w:tcW w:w="407" w:type="dxa"/>
            <w:tcMar>
              <w:left w:w="108" w:type="dxa"/>
              <w:right w:w="108" w:type="dxa"/>
            </w:tcMar>
            <w:vAlign w:val="center"/>
          </w:tcPr>
          <w:p>
            <w:pPr>
              <w:widowControl/>
              <w:spacing w:line="340" w:lineRule="exact"/>
              <w:ind w:left="-38" w:leftChars="-20" w:right="-38" w:rightChars="-20"/>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61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62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60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bidi="ar"/>
              </w:rPr>
              <w:t>0</w:t>
            </w:r>
          </w:p>
        </w:tc>
        <w:tc>
          <w:tcPr>
            <w:tcW w:w="59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bidi="ar"/>
              </w:rPr>
              <w:t>0</w:t>
            </w:r>
          </w:p>
        </w:tc>
        <w:tc>
          <w:tcPr>
            <w:tcW w:w="461"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649"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63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426"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650"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555" w:type="dxa"/>
            <w:tcMar>
              <w:left w:w="108" w:type="dxa"/>
              <w:right w:w="108" w:type="dxa"/>
            </w:tcMar>
            <w:vAlign w:val="center"/>
          </w:tcPr>
          <w:p>
            <w:pPr>
              <w:widowControl/>
              <w:spacing w:line="340" w:lineRule="exact"/>
              <w:ind w:left="-38" w:leftChars="-20" w:right="-38" w:rightChars="-20"/>
              <w:jc w:val="center"/>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p>
        </w:tc>
        <w:tc>
          <w:tcPr>
            <w:tcW w:w="407" w:type="dxa"/>
            <w:tcMar>
              <w:left w:w="108" w:type="dxa"/>
              <w:right w:w="108" w:type="dxa"/>
            </w:tcMar>
            <w:vAlign w:val="center"/>
          </w:tcPr>
          <w:p>
            <w:pPr>
              <w:spacing w:line="340" w:lineRule="exact"/>
              <w:ind w:left="-38" w:leftChars="-20" w:right="-38" w:rightChars="-20"/>
              <w:jc w:val="center"/>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0</w:t>
            </w:r>
          </w:p>
        </w:tc>
      </w:tr>
    </w:tbl>
    <w:p>
      <w:pPr>
        <w:spacing w:line="590" w:lineRule="exact"/>
        <w:ind w:right="-96" w:rightChars="-50" w:firstLine="624"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五、存在的主要问题及改进情况</w:t>
      </w:r>
    </w:p>
    <w:p>
      <w:pPr>
        <w:spacing w:line="590" w:lineRule="exact"/>
        <w:ind w:right="-96" w:rightChars="-50" w:firstLine="624" w:firstLineChars="200"/>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color w:val="000000"/>
          <w:sz w:val="32"/>
          <w:szCs w:val="32"/>
        </w:rPr>
        <w:t>（一）存在的问题</w:t>
      </w:r>
    </w:p>
    <w:p>
      <w:pPr>
        <w:spacing w:line="590" w:lineRule="exact"/>
        <w:ind w:right="-96" w:rightChars="-50" w:firstLine="624" w:firstLineChars="200"/>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一是存在政务公开管理还不够规范，个别领域信息公共信息量较少的问题，推动政务信息公开力度不够。</w:t>
      </w:r>
    </w:p>
    <w:p>
      <w:pPr>
        <w:spacing w:line="590" w:lineRule="exact"/>
        <w:ind w:right="-96" w:rightChars="-50" w:firstLine="624" w:firstLineChars="200"/>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二是信息公开工作人员不够固定，业务水平有待加强。</w:t>
      </w:r>
    </w:p>
    <w:p>
      <w:pPr>
        <w:spacing w:line="590" w:lineRule="exact"/>
        <w:ind w:right="-96" w:rightChars="-50" w:firstLine="624" w:firstLineChars="200"/>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color w:val="000000"/>
          <w:sz w:val="32"/>
          <w:szCs w:val="32"/>
        </w:rPr>
        <w:t>（二）改进措施</w:t>
      </w:r>
    </w:p>
    <w:p>
      <w:pPr>
        <w:spacing w:line="590" w:lineRule="exact"/>
        <w:ind w:right="-96" w:rightChars="-50" w:firstLine="624" w:firstLineChars="200"/>
        <w:rPr>
          <w:rFonts w:hint="eastAsia"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一</w:t>
      </w:r>
      <w:r>
        <w:rPr>
          <w:rFonts w:hint="eastAsia" w:ascii="Times New Roman" w:hAnsi="Times New Roman" w:eastAsia="方正仿宋简体" w:cs="Times New Roman"/>
          <w:b/>
          <w:color w:val="000000"/>
          <w:sz w:val="32"/>
          <w:szCs w:val="32"/>
        </w:rPr>
        <w:t>是加强监督和督办</w:t>
      </w:r>
      <w:bookmarkStart w:id="0" w:name="_GoBack"/>
      <w:bookmarkEnd w:id="0"/>
      <w:r>
        <w:rPr>
          <w:rFonts w:hint="eastAsia" w:ascii="Times New Roman" w:hAnsi="Times New Roman" w:eastAsia="方正仿宋简体" w:cs="Times New Roman"/>
          <w:b/>
          <w:color w:val="000000"/>
          <w:sz w:val="32"/>
          <w:szCs w:val="32"/>
        </w:rPr>
        <w:t>。组织人员查找政府信息公开的薄弱环节，及时更新街道相关工作，不断拓展政府信息公开的深度和广度，不断提高政府工作的透明度，发挥政府信息对人民群众生产、生活和经济社会活动的服务作用。</w:t>
      </w:r>
    </w:p>
    <w:p>
      <w:pPr>
        <w:spacing w:line="590" w:lineRule="exact"/>
        <w:ind w:right="-96" w:rightChars="-50" w:firstLine="624" w:firstLineChars="200"/>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二是加强政务公开工作队伍建设。加强工作人员培训学习，根据上级要求保障必要的经费、设备等条件，切实提高人员队伍的综合素质和业务能力。</w:t>
      </w:r>
    </w:p>
    <w:p>
      <w:pPr>
        <w:spacing w:line="590" w:lineRule="exact"/>
        <w:ind w:right="-96" w:rightChars="-50" w:firstLine="624" w:firstLineChars="200"/>
        <w:rPr>
          <w:rFonts w:hint="eastAsia"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六、其他需要报告的事项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default"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年度</w:t>
      </w:r>
      <w:r>
        <w:rPr>
          <w:rFonts w:hint="default" w:ascii="Times New Roman" w:hAnsi="Times New Roman" w:eastAsia="方正仿宋简体" w:cs="Times New Roman"/>
          <w:b/>
          <w:sz w:val="32"/>
          <w:szCs w:val="32"/>
          <w:lang w:val="en-US" w:eastAsia="zh-CN"/>
        </w:rPr>
        <w:t>鲁城</w:t>
      </w:r>
      <w:r>
        <w:rPr>
          <w:rFonts w:hint="default" w:ascii="Times New Roman" w:hAnsi="Times New Roman" w:eastAsia="方正仿宋简体" w:cs="Times New Roman"/>
          <w:b/>
          <w:sz w:val="32"/>
          <w:szCs w:val="32"/>
        </w:rPr>
        <w:t>街道除上述政府信息公开报告内容外，还有需要报告的其他事项：</w:t>
      </w:r>
    </w:p>
    <w:p>
      <w:pPr>
        <w:numPr>
          <w:ilvl w:val="0"/>
          <w:numId w:val="1"/>
        </w:num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依据《政府信息公开信息处理费管理办法》收取信息处理费的情况需在此专门报告;</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default"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w:t>
      </w:r>
      <w:r>
        <w:rPr>
          <w:rFonts w:hint="default" w:ascii="Times New Roman" w:hAnsi="Times New Roman" w:eastAsia="方正仿宋简体" w:cs="Times New Roman"/>
          <w:b/>
          <w:sz w:val="32"/>
          <w:szCs w:val="32"/>
          <w:lang w:val="en-US" w:eastAsia="zh-CN"/>
        </w:rPr>
        <w:t>鲁城</w:t>
      </w:r>
      <w:r>
        <w:rPr>
          <w:rFonts w:hint="default" w:ascii="Times New Roman" w:hAnsi="Times New Roman" w:eastAsia="方正仿宋简体" w:cs="Times New Roman"/>
          <w:b/>
          <w:sz w:val="32"/>
          <w:szCs w:val="32"/>
        </w:rPr>
        <w:t>街道</w:t>
      </w:r>
      <w:r>
        <w:rPr>
          <w:rFonts w:hint="default" w:ascii="Times New Roman" w:hAnsi="Times New Roman" w:eastAsia="方正仿宋简体" w:cs="Times New Roman"/>
          <w:b/>
          <w:sz w:val="32"/>
          <w:szCs w:val="32"/>
          <w:lang w:val="en-US" w:eastAsia="zh-CN"/>
        </w:rPr>
        <w:t>办事处</w:t>
      </w:r>
      <w:r>
        <w:rPr>
          <w:rFonts w:hint="default" w:ascii="Times New Roman" w:hAnsi="Times New Roman" w:eastAsia="方正仿宋简体" w:cs="Times New Roman"/>
          <w:b/>
          <w:sz w:val="32"/>
          <w:szCs w:val="32"/>
        </w:rPr>
        <w:t>依据《政府信息公开信息处理费管理办法》，没有收取任何信息处理费用。</w:t>
      </w:r>
    </w:p>
    <w:p>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本行政机关落实上级年度政务公开工作要点情况；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年，</w:t>
      </w:r>
      <w:r>
        <w:rPr>
          <w:rFonts w:hint="default" w:ascii="Times New Roman" w:hAnsi="Times New Roman" w:eastAsia="方正仿宋简体" w:cs="Times New Roman"/>
          <w:b/>
          <w:color w:val="000000"/>
          <w:sz w:val="32"/>
          <w:szCs w:val="32"/>
          <w:lang w:val="en-US" w:eastAsia="zh-CN"/>
        </w:rPr>
        <w:t>鲁城</w:t>
      </w:r>
      <w:r>
        <w:rPr>
          <w:rFonts w:hint="default" w:ascii="Times New Roman" w:hAnsi="Times New Roman" w:eastAsia="方正仿宋简体" w:cs="Times New Roman"/>
          <w:b/>
          <w:color w:val="000000"/>
          <w:sz w:val="32"/>
          <w:szCs w:val="32"/>
        </w:rPr>
        <w:t>街道严格按照济宁市</w:t>
      </w:r>
      <w:r>
        <w:rPr>
          <w:rFonts w:hint="default" w:ascii="Times New Roman" w:hAnsi="Times New Roman" w:eastAsia="方正仿宋简体" w:cs="Times New Roman"/>
          <w:b/>
          <w:color w:val="000000"/>
          <w:sz w:val="32"/>
          <w:szCs w:val="32"/>
          <w:lang w:val="en-US" w:eastAsia="zh-CN"/>
        </w:rPr>
        <w:t>曲阜市</w:t>
      </w:r>
      <w:r>
        <w:rPr>
          <w:rFonts w:hint="default" w:ascii="Times New Roman" w:hAnsi="Times New Roman" w:eastAsia="方正仿宋简体" w:cs="Times New Roman"/>
          <w:b/>
          <w:color w:val="000000"/>
          <w:sz w:val="32"/>
          <w:szCs w:val="32"/>
        </w:rPr>
        <w:t>人民政府办公室《</w:t>
      </w:r>
      <w:r>
        <w:rPr>
          <w:rFonts w:hint="default" w:ascii="Times New Roman" w:hAnsi="Times New Roman" w:eastAsia="方正仿宋简体" w:cs="Times New Roman"/>
          <w:b/>
          <w:color w:val="000000"/>
          <w:sz w:val="32"/>
          <w:szCs w:val="32"/>
          <w:lang w:val="en-US" w:eastAsia="zh-CN"/>
        </w:rPr>
        <w:t>2022年政务公开工作任务分解表</w:t>
      </w:r>
      <w:r>
        <w:rPr>
          <w:rFonts w:hint="default" w:ascii="Times New Roman" w:hAnsi="Times New Roman" w:eastAsia="方正仿宋简体" w:cs="Times New Roman"/>
          <w:b/>
          <w:color w:val="000000"/>
          <w:sz w:val="32"/>
          <w:szCs w:val="32"/>
        </w:rPr>
        <w:t>》通知要求，认真对照镇街承担的政务公开重点任务，进一步细化分解，将任务责任到人，确保应公开尽公开，不断提升政务公开能力水平。</w:t>
      </w:r>
    </w:p>
    <w:p>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本行政机关人大代表建议和政协提案办理结果公开情况；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96" w:rightChars="-50" w:firstLine="624" w:firstLineChars="200"/>
        <w:textAlignment w:val="auto"/>
        <w:rPr>
          <w:rFonts w:hint="default"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本年度市政府办公室未收到人大代表建议和政协提案</w:t>
      </w:r>
      <w:r>
        <w:rPr>
          <w:rFonts w:hint="default" w:ascii="Times New Roman" w:hAnsi="Times New Roman" w:eastAsia="方正仿宋简体" w:cs="Times New Roman"/>
          <w:b/>
          <w:sz w:val="32"/>
          <w:szCs w:val="32"/>
          <w:lang w:eastAsia="zh-CN"/>
        </w:rPr>
        <w:t>。</w:t>
      </w:r>
    </w:p>
    <w:p>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本行政机关年度政务公开工作创新情况；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积极创新政务公开的新载体、新形式。</w:t>
      </w:r>
      <w:r>
        <w:rPr>
          <w:rFonts w:hint="default" w:ascii="Times New Roman" w:hAnsi="Times New Roman" w:eastAsia="方正仿宋简体" w:cs="Times New Roman"/>
          <w:b/>
          <w:color w:val="000000"/>
          <w:sz w:val="32"/>
          <w:szCs w:val="32"/>
          <w:lang w:val="en-US" w:eastAsia="zh-CN"/>
        </w:rPr>
        <w:t>通过</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今日鲁城”官方</w:t>
      </w:r>
      <w:r>
        <w:rPr>
          <w:rFonts w:hint="default" w:ascii="Times New Roman" w:hAnsi="Times New Roman" w:eastAsia="方正仿宋简体" w:cs="Times New Roman"/>
          <w:b/>
          <w:color w:val="000000"/>
          <w:sz w:val="32"/>
          <w:szCs w:val="32"/>
        </w:rPr>
        <w:t>公众号，</w:t>
      </w:r>
      <w:r>
        <w:rPr>
          <w:rFonts w:hint="default" w:ascii="Times New Roman" w:hAnsi="Times New Roman" w:eastAsia="方正仿宋简体" w:cs="Times New Roman"/>
          <w:b/>
          <w:color w:val="000000"/>
          <w:sz w:val="32"/>
          <w:szCs w:val="32"/>
          <w:lang w:val="en-US" w:eastAsia="zh-CN"/>
        </w:rPr>
        <w:t>依托</w:t>
      </w:r>
      <w:r>
        <w:rPr>
          <w:rFonts w:hint="default" w:ascii="Times New Roman" w:hAnsi="Times New Roman" w:eastAsia="方正仿宋简体" w:cs="Times New Roman"/>
          <w:b/>
          <w:color w:val="000000"/>
          <w:sz w:val="32"/>
          <w:szCs w:val="32"/>
          <w:lang w:eastAsia="zh-CN"/>
        </w:rPr>
        <w:t>“社区＋合作社＋网格+微网格”基层社会治理新模式，</w:t>
      </w:r>
      <w:r>
        <w:rPr>
          <w:rFonts w:hint="default" w:ascii="Times New Roman" w:hAnsi="Times New Roman" w:eastAsia="方正仿宋简体" w:cs="Times New Roman"/>
          <w:b/>
          <w:color w:val="000000"/>
          <w:sz w:val="32"/>
          <w:szCs w:val="32"/>
        </w:rPr>
        <w:t>进一步发挥政务公开</w:t>
      </w:r>
      <w:r>
        <w:rPr>
          <w:rFonts w:hint="default" w:ascii="Times New Roman" w:hAnsi="Times New Roman" w:eastAsia="方正仿宋简体" w:cs="Times New Roman"/>
          <w:b/>
          <w:color w:val="000000"/>
          <w:sz w:val="32"/>
          <w:szCs w:val="32"/>
          <w:lang w:val="en-US" w:eastAsia="zh-CN"/>
        </w:rPr>
        <w:t>工作效力</w:t>
      </w:r>
      <w:r>
        <w:rPr>
          <w:rFonts w:hint="default" w:ascii="Times New Roman" w:hAnsi="Times New Roman" w:eastAsia="方正仿宋简体" w:cs="Times New Roman"/>
          <w:b/>
          <w:color w:val="000000"/>
          <w:sz w:val="32"/>
          <w:szCs w:val="32"/>
        </w:rPr>
        <w:t>，多渠道畅通群众知情方式。</w:t>
      </w:r>
    </w:p>
    <w:p>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本行政机关政府信息公开工作年度报告数据统计需要说明的事项；</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本报告所列数据的统计期限自2022年1月1日起至2022年12月31日止，所有数据真实有效。</w:t>
      </w:r>
    </w:p>
    <w:p>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本行政机关认为需要报告的其他事项；</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鲁城街道办事处暂无需要报告的其他事项。</w:t>
      </w:r>
    </w:p>
    <w:p>
      <w:pPr>
        <w:numPr>
          <w:ilvl w:val="0"/>
          <w:numId w:val="1"/>
        </w:numPr>
        <w:spacing w:line="590" w:lineRule="exact"/>
        <w:ind w:left="0" w:leftChars="0"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p>
    <w:p>
      <w:pPr>
        <w:spacing w:line="590" w:lineRule="exact"/>
        <w:ind w:right="-96" w:rightChars="-50" w:firstLine="624" w:firstLineChars="200"/>
        <w:rPr>
          <w:rFonts w:hint="default" w:ascii="Times New Roman" w:hAnsi="Times New Roman" w:cs="Times New Roman"/>
        </w:rPr>
      </w:pPr>
      <w:r>
        <w:rPr>
          <w:rFonts w:hint="default" w:ascii="Times New Roman" w:hAnsi="Times New Roman" w:eastAsia="方正仿宋简体" w:cs="Times New Roman"/>
          <w:b/>
          <w:color w:val="000000"/>
          <w:sz w:val="32"/>
          <w:szCs w:val="32"/>
          <w:lang w:val="en-US" w:eastAsia="zh-CN"/>
        </w:rPr>
        <w:t>无</w:t>
      </w:r>
      <w:r>
        <w:rPr>
          <w:rFonts w:hint="eastAsia" w:eastAsia="方正仿宋简体" w:cs="Times New Roman"/>
          <w:b/>
          <w:color w:val="000000"/>
          <w:sz w:val="32"/>
          <w:szCs w:val="32"/>
          <w:lang w:val="en-US" w:eastAsia="zh-CN"/>
        </w:rPr>
        <w:t>。</w:t>
      </w:r>
    </w:p>
    <w:sectPr>
      <w:footerReference r:id="rId3" w:type="default"/>
      <w:pgSz w:w="11906" w:h="16838"/>
      <w:pgMar w:top="2154" w:right="1474" w:bottom="187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汉仪旗黑-55简">
    <w:altName w:val="黑体"/>
    <w:panose1 w:val="00020600040101010101"/>
    <w:charset w:val="8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BAE9E"/>
    <w:multiLevelType w:val="singleLevel"/>
    <w:tmpl w:val="FC7BA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000000"/>
    <w:rsid w:val="077B21DE"/>
    <w:rsid w:val="080B24BC"/>
    <w:rsid w:val="0F1047D7"/>
    <w:rsid w:val="0F5D6EA9"/>
    <w:rsid w:val="11520C95"/>
    <w:rsid w:val="12A1788E"/>
    <w:rsid w:val="14CC1A15"/>
    <w:rsid w:val="1B516ABF"/>
    <w:rsid w:val="21601A4E"/>
    <w:rsid w:val="22F061F7"/>
    <w:rsid w:val="28D823F1"/>
    <w:rsid w:val="2AAA2FD4"/>
    <w:rsid w:val="2D952C51"/>
    <w:rsid w:val="30A53545"/>
    <w:rsid w:val="33DA2FD1"/>
    <w:rsid w:val="3CE321F5"/>
    <w:rsid w:val="3D2A496A"/>
    <w:rsid w:val="3FCB4F6E"/>
    <w:rsid w:val="414B35D1"/>
    <w:rsid w:val="42F65DFC"/>
    <w:rsid w:val="44B2473D"/>
    <w:rsid w:val="4A1672C9"/>
    <w:rsid w:val="5FF07DBB"/>
    <w:rsid w:val="61621F89"/>
    <w:rsid w:val="6324615B"/>
    <w:rsid w:val="685320FE"/>
    <w:rsid w:val="6AF061CA"/>
    <w:rsid w:val="6B8C6709"/>
    <w:rsid w:val="6BF87B65"/>
    <w:rsid w:val="6C171047"/>
    <w:rsid w:val="6C6351CA"/>
    <w:rsid w:val="74CC3B45"/>
    <w:rsid w:val="79BA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image" Target="../media/image1.png"/><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260" b="0" i="0" u="none" strike="noStrike" kern="1200" spc="0" baseline="0">
                <a:solidFill>
                  <a:schemeClr val="tx1">
                    <a:lumMod val="65000"/>
                    <a:lumOff val="35000"/>
                  </a:schemeClr>
                </a:solidFill>
                <a:effectLst>
                  <a:outerShdw blurRad="63500" sx="102000" sy="102000" algn="ctr" rotWithShape="0">
                    <a:srgbClr val="FBFFFF">
                      <a:alpha val="40000"/>
                    </a:srgbClr>
                  </a:outerShdw>
                </a:effectLst>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sz="1400"/>
              <a:t>鲁城街道办事处政务信息公开占比情况</a:t>
            </a:r>
            <a:endParaRPr sz="1400"/>
          </a:p>
        </c:rich>
      </c:tx>
      <c:layout>
        <c:manualLayout>
          <c:xMode val="edge"/>
          <c:yMode val="edge"/>
          <c:x val="0.184352275787773"/>
          <c:y val="0.0135653954440747"/>
        </c:manualLayout>
      </c:layout>
      <c:overlay val="0"/>
      <c:spPr>
        <a:noFill/>
        <a:ln>
          <a:noFill/>
        </a:ln>
        <a:effectLst/>
      </c:spPr>
    </c:title>
    <c:autoTitleDeleted val="0"/>
    <c:plotArea>
      <c:layout>
        <c:manualLayout>
          <c:layoutTarget val="inner"/>
          <c:xMode val="edge"/>
          <c:yMode val="edge"/>
          <c:x val="0.33503518697392"/>
          <c:y val="0.279889426399447"/>
          <c:w val="0.377121567545191"/>
          <c:h val="0.629578438147892"/>
        </c:manualLayout>
      </c:layout>
      <c:pieChart>
        <c:varyColors val="1"/>
        <c:ser>
          <c:idx val="0"/>
          <c:order val="0"/>
          <c:tx>
            <c:strRef>
              <c:f>Sheet1!$B$1</c:f>
              <c:strCache>
                <c:ptCount val="1"/>
                <c:pt idx="0">
                  <c:v>鲁城街道办事处政务信息公开占比情况
</c:v>
                </c:pt>
              </c:strCache>
            </c:strRef>
          </c:tx>
          <c:spPr>
            <a:ln w="12700">
              <a:solidFill>
                <a:srgbClr val="FBFFFF"/>
              </a:solidFill>
            </a:ln>
            <a:sp3d contourW="12700"/>
          </c:spPr>
          <c:explosion val="0"/>
          <c:dPt>
            <c:idx val="0"/>
            <c:bubble3D val="0"/>
            <c:spPr>
              <a:gradFill>
                <a:gsLst>
                  <a:gs pos="13000">
                    <a:srgbClr val="B8C5FC"/>
                  </a:gs>
                  <a:gs pos="50000">
                    <a:srgbClr val="7185F5">
                      <a:alpha val="100000"/>
                    </a:srgbClr>
                  </a:gs>
                  <a:gs pos="100000">
                    <a:srgbClr val="0416EE"/>
                  </a:gs>
                </a:gsLst>
                <a:lin ang="18000000" scaled="0"/>
              </a:gradFill>
              <a:ln w="12700">
                <a:solidFill>
                  <a:srgbClr val="FBFFFF"/>
                </a:solidFill>
              </a:ln>
              <a:effectLst/>
              <a:sp3d contourW="12700"/>
            </c:spPr>
          </c:dPt>
          <c:dPt>
            <c:idx val="1"/>
            <c:bubble3D val="0"/>
            <c:spPr>
              <a:gradFill>
                <a:gsLst>
                  <a:gs pos="50000">
                    <a:srgbClr val="4790F6">
                      <a:alpha val="100000"/>
                    </a:srgbClr>
                  </a:gs>
                  <a:gs pos="14000">
                    <a:srgbClr val="B0D7F6"/>
                  </a:gs>
                  <a:gs pos="100000">
                    <a:srgbClr val="0159F6"/>
                  </a:gs>
                </a:gsLst>
                <a:lin ang="2700000" scaled="0"/>
              </a:gradFill>
              <a:ln w="12700">
                <a:solidFill>
                  <a:srgbClr val="FBFFFF"/>
                </a:solidFill>
              </a:ln>
              <a:effectLst/>
              <a:sp3d contourW="12700"/>
            </c:spPr>
          </c:dPt>
          <c:dPt>
            <c:idx val="2"/>
            <c:bubble3D val="0"/>
            <c:spPr>
              <a:gradFill>
                <a:gsLst>
                  <a:gs pos="13000">
                    <a:srgbClr val="DDF4FC"/>
                  </a:gs>
                  <a:gs pos="100000">
                    <a:srgbClr val="006EFF"/>
                  </a:gs>
                </a:gsLst>
                <a:lin ang="8100000" scaled="0"/>
              </a:gradFill>
              <a:ln w="12700">
                <a:solidFill>
                  <a:srgbClr val="FBFFFF"/>
                </a:solidFill>
              </a:ln>
              <a:effectLst/>
              <a:sp3d contourW="12700"/>
            </c:spPr>
          </c:dPt>
          <c:dPt>
            <c:idx val="3"/>
            <c:bubble3D val="0"/>
            <c:spPr>
              <a:gradFill>
                <a:gsLst>
                  <a:gs pos="13000">
                    <a:srgbClr val="DDF4FC"/>
                  </a:gs>
                  <a:gs pos="100000">
                    <a:srgbClr val="0190DF"/>
                  </a:gs>
                </a:gsLst>
                <a:lin ang="11400000" scaled="0"/>
              </a:gradFill>
              <a:ln w="12700">
                <a:solidFill>
                  <a:srgbClr val="FBFFFF"/>
                </a:solidFill>
              </a:ln>
              <a:effectLst/>
              <a:sp3d contourW="12700"/>
            </c:spPr>
          </c:dPt>
          <c:dPt>
            <c:idx val="4"/>
            <c:bubble3D val="0"/>
            <c:spPr>
              <a:solidFill>
                <a:schemeClr val="accent5"/>
              </a:solidFill>
              <a:ln w="12700">
                <a:solidFill>
                  <a:srgbClr val="FBFFFF"/>
                </a:solidFill>
              </a:ln>
              <a:effectLst/>
              <a:sp3d contourW="12700"/>
            </c:spPr>
          </c:dPt>
          <c:dPt>
            <c:idx val="5"/>
            <c:bubble3D val="0"/>
            <c:spPr>
              <a:solidFill>
                <a:schemeClr val="accent6"/>
              </a:solidFill>
              <a:ln w="12700">
                <a:solidFill>
                  <a:srgbClr val="FBFFFF"/>
                </a:solidFill>
              </a:ln>
              <a:effectLst/>
              <a:sp3d contourW="12700"/>
            </c:spPr>
          </c:dPt>
          <c:dPt>
            <c:idx val="6"/>
            <c:bubble3D val="0"/>
            <c:spPr>
              <a:solidFill>
                <a:schemeClr val="accent1">
                  <a:lumMod val="60000"/>
                </a:schemeClr>
              </a:solidFill>
              <a:ln w="12700">
                <a:solidFill>
                  <a:srgbClr val="FBFFFF"/>
                </a:solidFill>
              </a:ln>
              <a:effectLst/>
              <a:sp3d contourW="12700"/>
            </c:spPr>
          </c:dPt>
          <c:dPt>
            <c:idx val="7"/>
            <c:bubble3D val="0"/>
            <c:spPr>
              <a:solidFill>
                <a:schemeClr val="accent2">
                  <a:lumMod val="60000"/>
                </a:schemeClr>
              </a:solidFill>
              <a:ln w="12700">
                <a:solidFill>
                  <a:srgbClr val="FBFFFF"/>
                </a:solidFill>
              </a:ln>
              <a:effectLst/>
              <a:sp3d contourW="12700"/>
            </c:spPr>
          </c:dPt>
          <c:dPt>
            <c:idx val="8"/>
            <c:bubble3D val="0"/>
            <c:spPr>
              <a:solidFill>
                <a:schemeClr val="accent3">
                  <a:lumMod val="60000"/>
                </a:schemeClr>
              </a:solidFill>
              <a:ln w="12700">
                <a:solidFill>
                  <a:srgbClr val="FBFFFF"/>
                </a:solidFill>
              </a:ln>
              <a:effectLst/>
              <a:sp3d contourW="12700"/>
            </c:spPr>
          </c:dPt>
          <c:dPt>
            <c:idx val="9"/>
            <c:bubble3D val="0"/>
            <c:spPr>
              <a:solidFill>
                <a:schemeClr val="accent4">
                  <a:lumMod val="60000"/>
                </a:schemeClr>
              </a:solidFill>
              <a:ln w="12700">
                <a:solidFill>
                  <a:srgbClr val="FBFFFF"/>
                </a:solidFill>
              </a:ln>
              <a:effectLst/>
              <a:sp3d contourW="12700"/>
            </c:spPr>
          </c:dPt>
          <c:dPt>
            <c:idx val="10"/>
            <c:bubble3D val="0"/>
            <c:spPr>
              <a:solidFill>
                <a:schemeClr val="accent5">
                  <a:lumMod val="60000"/>
                </a:schemeClr>
              </a:solidFill>
              <a:ln w="12700">
                <a:solidFill>
                  <a:srgbClr val="FBFFFF"/>
                </a:solidFill>
              </a:ln>
              <a:effectLst/>
              <a:sp3d contourW="12700"/>
            </c:spPr>
          </c:dPt>
          <c:dLbls>
            <c:dLbl>
              <c:idx val="0"/>
              <c:layout>
                <c:manualLayout>
                  <c:x val="-0.0746946793028764"/>
                  <c:y val="-0.133970547066404"/>
                </c:manualLayout>
              </c:layout>
              <c:dLblPos val="bestFit"/>
              <c:showLegendKey val="0"/>
              <c:showVal val="0"/>
              <c:showCatName val="0"/>
              <c:showSerName val="0"/>
              <c:showPercent val="1"/>
              <c:showBubbleSize val="0"/>
              <c:separator> </c:separator>
              <c:extLst>
                <c:ext xmlns:c15="http://schemas.microsoft.com/office/drawing/2012/chart" uri="{CE6537A1-D6FC-4f65-9D91-7224C49458BB}">
                  <c15:layout/>
                </c:ext>
              </c:extLst>
            </c:dLbl>
            <c:dLbl>
              <c:idx val="1"/>
              <c:layout/>
              <c:dLblPos val="inEnd"/>
              <c:showLegendKey val="0"/>
              <c:showVal val="0"/>
              <c:showCatName val="0"/>
              <c:showSerName val="0"/>
              <c:showPercent val="1"/>
              <c:showBubbleSize val="0"/>
              <c:separator> </c:separator>
              <c:extLst>
                <c:ext xmlns:c15="http://schemas.microsoft.com/office/drawing/2012/chart" uri="{CE6537A1-D6FC-4f65-9D91-7224C49458BB}"/>
              </c:extLst>
            </c:dLbl>
            <c:dLbl>
              <c:idx val="2"/>
              <c:layout/>
              <c:dLblPos val="inEnd"/>
              <c:showLegendKey val="0"/>
              <c:showVal val="0"/>
              <c:showCatName val="0"/>
              <c:showSerName val="0"/>
              <c:showPercent val="1"/>
              <c:showBubbleSize val="0"/>
              <c:separator> </c:separator>
              <c:extLst>
                <c:ext xmlns:c15="http://schemas.microsoft.com/office/drawing/2012/chart" uri="{CE6537A1-D6FC-4f65-9D91-7224C49458BB}"/>
              </c:extLst>
            </c:dLbl>
            <c:dLbl>
              <c:idx val="3"/>
              <c:layout/>
              <c:dLblPos val="inEnd"/>
              <c:showLegendKey val="0"/>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50" b="1" i="0" u="none" strike="noStrike" kern="1200" baseline="0">
                    <a:solidFill>
                      <a:srgbClr val="FBFFFF"/>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重大政策转载</c:v>
                </c:pt>
                <c:pt idx="1">
                  <c:v>部门财政预决算</c:v>
                </c:pt>
                <c:pt idx="2">
                  <c:v>规划计划</c:v>
                </c:pt>
                <c:pt idx="3">
                  <c:v>政府信息公开指南</c:v>
                </c:pt>
                <c:pt idx="4">
                  <c:v>会议公开</c:v>
                </c:pt>
                <c:pt idx="5">
                  <c:v>公示公告</c:v>
                </c:pt>
                <c:pt idx="6">
                  <c:v>组织管理</c:v>
                </c:pt>
                <c:pt idx="7">
                  <c:v>组织机构职能</c:v>
                </c:pt>
                <c:pt idx="8">
                  <c:v>部门文件</c:v>
                </c:pt>
                <c:pt idx="9">
                  <c:v>政策解读</c:v>
                </c:pt>
                <c:pt idx="10">
                  <c:v>其他</c:v>
                </c:pt>
              </c:strCache>
            </c:strRef>
          </c:cat>
          <c:val>
            <c:numRef>
              <c:f>Sheet1!$B$2:$B$12</c:f>
              <c:numCache>
                <c:formatCode>General</c:formatCode>
                <c:ptCount val="11"/>
                <c:pt idx="0">
                  <c:v>98</c:v>
                </c:pt>
                <c:pt idx="1">
                  <c:v>2</c:v>
                </c:pt>
                <c:pt idx="2">
                  <c:v>2</c:v>
                </c:pt>
                <c:pt idx="3">
                  <c:v>1</c:v>
                </c:pt>
                <c:pt idx="4">
                  <c:v>3</c:v>
                </c:pt>
                <c:pt idx="5">
                  <c:v>3</c:v>
                </c:pt>
                <c:pt idx="6">
                  <c:v>3</c:v>
                </c:pt>
                <c:pt idx="7">
                  <c:v>4</c:v>
                </c:pt>
                <c:pt idx="8">
                  <c:v>5</c:v>
                </c:pt>
                <c:pt idx="9">
                  <c:v>5</c:v>
                </c:pt>
                <c:pt idx="10">
                  <c:v>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1"/>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2"/>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3"/>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4"/>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5"/>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6"/>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7"/>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8"/>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9"/>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10"/>
        <c:txPr>
          <a:bodyPr rot="0" spcFirstLastPara="0" vertOverflow="ellipsis" vert="horz" wrap="square" anchor="ctr" anchorCtr="1"/>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ayout>
        <c:manualLayout>
          <c:xMode val="edge"/>
          <c:yMode val="edge"/>
          <c:x val="0.0181793697818476"/>
          <c:y val="0.118249296135142"/>
          <c:w val="0.93859412873687"/>
          <c:h val="0.213718965958536"/>
        </c:manualLayout>
      </c:layout>
      <c:overlay val="0"/>
      <c:spPr>
        <a:noFill/>
        <a:ln>
          <a:noFill/>
        </a:ln>
        <a:effectLst/>
      </c:spPr>
      <c:txPr>
        <a:bodyPr rot="0" spcFirstLastPara="0" vertOverflow="ellipsis" vert="horz" wrap="square" anchor="ctr" anchorCtr="1" forceAA="0"/>
        <a:lstStyle/>
        <a:p>
          <a:pPr>
            <a:defRPr lang="zh-CN" sz="1050" b="0" i="0" u="none" strike="noStrike" kern="1200" baseline="0">
              <a:solidFill>
                <a:srgbClr val="5E5E5E"/>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
    <c:plotVisOnly val="1"/>
    <c:dispBlanksAs val="gap"/>
    <c:showDLblsOverMax val="0"/>
  </c:chart>
  <c:spPr>
    <a:blipFill rotWithShape="1">
      <a:blip xmlns:r="http://schemas.openxmlformats.org/officeDocument/2006/relationships" r:embed="rId2"/>
      <a:stretch>
        <a:fillRect/>
      </a:stretch>
    </a:blipFill>
    <a:ln w="9525" cap="flat" cmpd="sng" algn="ctr">
      <a:noFill/>
      <a:round/>
    </a:ln>
    <a:effectLst/>
  </c:spPr>
  <c:txPr>
    <a:bodyPr/>
    <a:lstStyle/>
    <a:p>
      <a:pPr>
        <a:defRPr lang="zh-CN" sz="1050">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800" b="0" i="0" u="none" strike="noStrike" kern="1200" spc="0" baseline="0">
                <a:solidFill>
                  <a:schemeClr val="tx1">
                    <a:lumMod val="65000"/>
                    <a:lumOff val="35000"/>
                  </a:schemeClr>
                </a:solidFill>
                <a:latin typeface="方正小标宋简体" panose="02010601030101010101" charset="-122"/>
                <a:ea typeface="方正小标宋简体" panose="02010601030101010101" charset="-122"/>
                <a:cs typeface="方正小标宋简体" panose="02010601030101010101" charset="-122"/>
                <a:sym typeface="方正小标宋简体" panose="02010601030101010101" charset="-122"/>
              </a:defRPr>
            </a:pPr>
            <a:r>
              <a:rPr sz="1800">
                <a:latin typeface="方正小标宋简体" panose="02010601030101010101" charset="-122"/>
                <a:ea typeface="方正小标宋简体" panose="02010601030101010101" charset="-122"/>
                <a:cs typeface="方正小标宋简体" panose="02010601030101010101" charset="-122"/>
                <a:sym typeface="方正小标宋简体" panose="02010601030101010101" charset="-122"/>
              </a:rPr>
              <a:t>鲁城街道办事处依申请公开办理情况</a:t>
            </a:r>
            <a:endParaRPr sz="1800">
              <a:latin typeface="方正小标宋简体" panose="02010601030101010101" charset="-122"/>
              <a:ea typeface="方正小标宋简体" panose="02010601030101010101" charset="-122"/>
              <a:cs typeface="方正小标宋简体" panose="02010601030101010101" charset="-122"/>
              <a:sym typeface="方正小标宋简体" panose="02010601030101010101" charset="-122"/>
            </a:endParaRPr>
          </a:p>
        </c:rich>
      </c:tx>
      <c:layout>
        <c:manualLayout>
          <c:xMode val="edge"/>
          <c:yMode val="edge"/>
          <c:x val="0.147096654634593"/>
          <c:y val="0.00623052959501558"/>
        </c:manualLayout>
      </c:layout>
      <c:overlay val="0"/>
      <c:spPr>
        <a:noFill/>
        <a:ln>
          <a:noFill/>
        </a:ln>
        <a:effectLst/>
      </c:spPr>
    </c:title>
    <c:autoTitleDeleted val="0"/>
    <c:plotArea>
      <c:layout/>
      <c:lineChart>
        <c:grouping val="standard"/>
        <c:varyColors val="0"/>
        <c:ser>
          <c:idx val="0"/>
          <c:order val="0"/>
          <c:tx>
            <c:strRef>
              <c:f>Sheet1!$B$1</c:f>
              <c:strCache>
                <c:ptCount val="1"/>
                <c:pt idx="0">
                  <c:v>办理数量</c:v>
                </c:pt>
              </c:strCache>
            </c:strRef>
          </c:tx>
          <c:spPr>
            <a:ln w="28575" cap="rnd">
              <a:solidFill>
                <a:srgbClr val="F04D6F"/>
              </a:solidFill>
              <a:round/>
            </a:ln>
            <a:effectLst/>
          </c:spPr>
          <c:marker>
            <c:symbol val="none"/>
          </c:marker>
          <c:dLbls>
            <c:delete val="1"/>
          </c:dLbls>
          <c:cat>
            <c:strRef>
              <c:f>Sheet1!$A$2:$A$4</c:f>
              <c:strCache>
                <c:ptCount val="3"/>
                <c:pt idx="0">
                  <c:v>2020年</c:v>
                </c:pt>
                <c:pt idx="1">
                  <c:v>2021年</c:v>
                </c:pt>
                <c:pt idx="2">
                  <c:v>2022年</c:v>
                </c:pt>
              </c:strCache>
            </c:strRef>
          </c:cat>
          <c:val>
            <c:numRef>
              <c:f>Sheet1!$B$2:$B$4</c:f>
              <c:numCache>
                <c:formatCode>General</c:formatCode>
                <c:ptCount val="3"/>
                <c:pt idx="0">
                  <c:v>5</c:v>
                </c:pt>
                <c:pt idx="1">
                  <c:v>7</c:v>
                </c:pt>
                <c:pt idx="2">
                  <c:v>4</c:v>
                </c:pt>
              </c:numCache>
            </c:numRef>
          </c:val>
          <c:smooth val="1"/>
        </c:ser>
        <c:ser>
          <c:idx val="1"/>
          <c:order val="1"/>
          <c:tx>
            <c:strRef>
              <c:f>Sheet1!#REF!</c:f>
              <c:strCache>
                <c:ptCount val="1"/>
                <c:pt idx="0">
                  <c:v/>
                </c:pt>
              </c:strCache>
            </c:strRef>
          </c:tx>
          <c:spPr>
            <a:ln w="28575" cap="rnd">
              <a:solidFill>
                <a:srgbClr val="507EFF"/>
              </a:solidFill>
              <a:round/>
            </a:ln>
            <a:effectLst/>
          </c:spPr>
          <c:marker>
            <c:symbol val="none"/>
          </c:marker>
          <c:dLbls>
            <c:delete val="1"/>
          </c:dLbls>
          <c:cat>
            <c:strRef>
              <c:f>Sheet1!$A$2:$A$4</c:f>
              <c:strCache>
                <c:ptCount val="3"/>
                <c:pt idx="0">
                  <c:v>2020年</c:v>
                </c:pt>
                <c:pt idx="1">
                  <c:v>2021年</c:v>
                </c:pt>
                <c:pt idx="2">
                  <c:v>2022年</c:v>
                </c:pt>
              </c:strCache>
            </c:strRef>
          </c:cat>
          <c:val>
            <c:numRef>
              <c:f>Sheet1!#REF!</c:f>
              <c:numCache>
                <c:formatCode>General</c:formatCode>
                <c:ptCount val="1"/>
                <c:pt idx="0">
                  <c:v>1</c:v>
                </c:pt>
              </c:numCache>
            </c:numRef>
          </c:val>
          <c:smooth val="1"/>
        </c:ser>
        <c:ser>
          <c:idx val="2"/>
          <c:order val="2"/>
          <c:tx>
            <c:strRef>
              <c:f>Sheet1!#REF!</c:f>
              <c:strCache>
                <c:ptCount val="1"/>
                <c:pt idx="0">
                  <c:v/>
                </c:pt>
              </c:strCache>
            </c:strRef>
          </c:tx>
          <c:spPr>
            <a:ln w="28575" cap="rnd">
              <a:solidFill>
                <a:srgbClr val="F04D6F"/>
              </a:solidFill>
              <a:round/>
            </a:ln>
            <a:effectLst/>
          </c:spPr>
          <c:marker>
            <c:symbol val="none"/>
          </c:marker>
          <c:dLbls>
            <c:delete val="1"/>
          </c:dLbls>
          <c:cat>
            <c:strRef>
              <c:f>Sheet1!$A$2:$A$4</c:f>
              <c:strCache>
                <c:ptCount val="3"/>
                <c:pt idx="0">
                  <c:v>2020年</c:v>
                </c:pt>
                <c:pt idx="1">
                  <c:v>2021年</c:v>
                </c:pt>
                <c:pt idx="2">
                  <c:v>2022年</c:v>
                </c:pt>
              </c:strCache>
            </c:strRef>
          </c:cat>
          <c:val>
            <c:numRef>
              <c:f>Sheet1!#REF!</c:f>
              <c:numCache>
                <c:formatCode>General</c:formatCode>
                <c:ptCount val="1"/>
                <c:pt idx="0">
                  <c:v>1</c:v>
                </c:pt>
              </c:numCache>
            </c:numRef>
          </c:val>
          <c:smooth val="1"/>
        </c:ser>
        <c:dLbls>
          <c:showLegendKey val="0"/>
          <c:showVal val="0"/>
          <c:showCatName val="0"/>
          <c:showSerName val="0"/>
          <c:showPercent val="0"/>
          <c:showBubbleSize val="0"/>
        </c:dLbls>
        <c:marker val="0"/>
        <c:smooth val="1"/>
        <c:axId val="523221286"/>
        <c:axId val="672925953"/>
      </c:lineChart>
      <c:catAx>
        <c:axId val="52322128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72925953"/>
        <c:crosses val="autoZero"/>
        <c:auto val="1"/>
        <c:lblAlgn val="ctr"/>
        <c:lblOffset val="100"/>
        <c:noMultiLvlLbl val="0"/>
      </c:catAx>
      <c:valAx>
        <c:axId val="672925953"/>
        <c:scaling>
          <c:orientation val="minMax"/>
        </c:scaling>
        <c:delete val="0"/>
        <c:axPos val="l"/>
        <c:majorGridlines>
          <c:spPr>
            <a:ln w="9525" cap="flat" cmpd="sng" algn="ctr">
              <a:solidFill>
                <a:schemeClr val="bg1">
                  <a:lumMod val="9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12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2322128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
        <c:delete val="1"/>
      </c:legendEntry>
      <c:legendEntry>
        <c:idx val="2"/>
        <c:delete val="1"/>
      </c:legendEntry>
      <c:layout/>
      <c:overlay val="0"/>
      <c:spPr>
        <a:noFill/>
        <a:ln>
          <a:noFill/>
        </a:ln>
        <a:effectLst/>
      </c:spPr>
      <c:txPr>
        <a:bodyPr rot="0" spcFirstLastPara="0" vertOverflow="ellipsis" vert="horz" wrap="square" anchor="ctr" anchorCtr="1" forceAA="0"/>
        <a:lstStyle/>
        <a:p>
          <a:pPr>
            <a:defRPr lang="zh-CN" sz="1200" b="0"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10</Pages>
  <Words>3734</Words>
  <Characters>3854</Characters>
  <Lines>0</Lines>
  <Paragraphs>0</Paragraphs>
  <TotalTime>33</TotalTime>
  <ScaleCrop>false</ScaleCrop>
  <LinksUpToDate>false</LinksUpToDate>
  <CharactersWithSpaces>3944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落箨成竹</cp:lastModifiedBy>
  <dcterms:modified xsi:type="dcterms:W3CDTF">2023-02-07T05:53:46Z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9EB2498641C04AD6B6D65699BF218EFB</vt:lpwstr>
  </property>
</Properties>
</file>