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Lines="0" w:beforeAutospacing="0" w:after="0" w:afterLines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曲阜市审计局202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年政府信息公开</w:t>
      </w:r>
    </w:p>
    <w:p>
      <w:pPr>
        <w:spacing w:beforeLines="0" w:afterLines="0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工作年度报告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本报告由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曲阜市审计局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本报告所列数据的统计期限自2021年1月1日起至2021年12月31日止。本报告电子版可在“中国·曲阜”政府门户网站（具体网址）查阅或下载。如对本报告有疑问，请与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曲阜市审计局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联系（地址：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曲阜市舞雩台路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，联系电话：0537-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4496133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一、总体情况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曲阜市审计局</w:t>
      </w:r>
      <w:r>
        <w:rPr>
          <w:rFonts w:hint="eastAsia" w:ascii="仿宋_GB2312" w:hAnsi="仿宋_GB2312" w:eastAsia="仿宋_GB2312" w:cs="仿宋_GB2312"/>
          <w:sz w:val="28"/>
          <w:szCs w:val="28"/>
        </w:rPr>
        <w:t>认真贯彻落实习近平新时代中国特色社会主义思想和党的十九大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精神，</w:t>
      </w:r>
      <w:r>
        <w:rPr>
          <w:rFonts w:hint="eastAsia" w:ascii="仿宋_GB2312" w:hAnsi="仿宋_GB2312" w:eastAsia="仿宋_GB2312" w:cs="仿宋_GB2312"/>
          <w:sz w:val="28"/>
          <w:szCs w:val="28"/>
        </w:rPr>
        <w:t>市审计局在市委、市政府的正确领导下，在市政府办公室的具体指导下，坚持“公开为常态，不公开为例外”的原则，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持续推进政务公开工作。</w:t>
      </w:r>
    </w:p>
    <w:p>
      <w:pPr>
        <w:spacing w:beforeLines="0" w:afterLines="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主动公开情况</w:t>
      </w:r>
    </w:p>
    <w:p>
      <w:pPr>
        <w:numPr>
          <w:ilvl w:val="0"/>
          <w:numId w:val="0"/>
        </w:numPr>
        <w:spacing w:beforeLines="0" w:afterLines="0"/>
        <w:ind w:firstLine="560" w:firstLineChars="200"/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  <w:lang w:eastAsia="zh-CN"/>
        </w:rPr>
        <w:t>市审计局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</w:rPr>
        <w:t>按照“以公开为常态、不公开为例外”原则，按照法定公开内容，202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  <w:lang w:val="en-US" w:eastAsia="zh-CN"/>
        </w:rPr>
        <w:t>1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</w:rPr>
        <w:t>年，市审计局通过政务公开平台主动公开政府信息共计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_GB2312" w:hAnsi="仿宋_GB2312" w:eastAsia="仿宋_GB2312" w:cs="仿宋_GB2312"/>
          <w:b w:val="0"/>
          <w:color w:val="333333"/>
          <w:sz w:val="28"/>
          <w:szCs w:val="28"/>
        </w:rPr>
        <w:t>条。</w:t>
      </w:r>
    </w:p>
    <w:p>
      <w:pPr>
        <w:numPr>
          <w:ilvl w:val="0"/>
          <w:numId w:val="0"/>
        </w:numPr>
        <w:spacing w:beforeLines="0" w:afterLines="0"/>
        <w:jc w:val="center"/>
      </w:pPr>
      <w:r>
        <w:drawing>
          <wp:inline distT="0" distB="0" distL="114300" distR="114300">
            <wp:extent cx="4572000" cy="2743200"/>
            <wp:effectExtent l="4445" t="4445" r="10795" b="1079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beforeLines="0" w:afterLines="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依申请公开情况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2021年度，市审计局未收到政府公开申请，市审计局不涉及收费项目，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市审计局</w:t>
      </w:r>
      <w:r>
        <w:rPr>
          <w:rFonts w:hint="eastAsia" w:ascii="仿宋_GB2312" w:hAnsi="仿宋_GB2312" w:eastAsia="仿宋_GB2312" w:cs="仿宋_GB2312"/>
          <w:sz w:val="28"/>
          <w:szCs w:val="28"/>
        </w:rPr>
        <w:t>未收到以政府信息公开为由提起的行政复议和行政诉讼。</w:t>
      </w:r>
    </w:p>
    <w:p>
      <w:pPr>
        <w:numPr>
          <w:ilvl w:val="0"/>
          <w:numId w:val="1"/>
        </w:numPr>
        <w:spacing w:beforeLines="0" w:afterLines="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充分发挥市政府门户网站信息公开“第一平台”作用，对政务信息进行及时有效的公开，充分发挥信息宣传作用，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年共在各类报刊、网站等发表宣传稿件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余篇次。</w:t>
      </w:r>
    </w:p>
    <w:p>
      <w:pPr>
        <w:numPr>
          <w:ilvl w:val="0"/>
          <w:numId w:val="2"/>
        </w:numPr>
        <w:spacing w:beforeLines="0" w:afterLines="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政府信息平台建设情况</w:t>
      </w:r>
    </w:p>
    <w:p>
      <w:pPr>
        <w:numPr>
          <w:ilvl w:val="0"/>
          <w:numId w:val="0"/>
        </w:num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曲阜市政府信息公开专栏为政府信息公开平台，市审计局制作、形成的政府信息都会及时在平台进行发布。市审计局办公室是本单位的政府信息公开工作机构，现有专职工作人员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人，负责政务公开相关工作。</w:t>
      </w:r>
    </w:p>
    <w:p>
      <w:pPr>
        <w:numPr>
          <w:ilvl w:val="0"/>
          <w:numId w:val="2"/>
        </w:numPr>
        <w:spacing w:beforeLines="0" w:afterLines="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监督保障情况</w:t>
      </w:r>
    </w:p>
    <w:p>
      <w:pPr>
        <w:numPr>
          <w:numId w:val="0"/>
        </w:num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加强组织体系建设。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健全工作机构，强化组织保障。加强组织领导，成立工作小组，做到领导、机构、人员“三到位”。创新工作方式建立开通政务公开微信群，提高工作效率。同时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加强学习培训，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积极组织本单位同志学习交流，</w:t>
      </w:r>
      <w:r>
        <w:rPr>
          <w:rFonts w:hint="eastAsia" w:ascii="仿宋_GB2312" w:hAnsi="仿宋_GB2312" w:eastAsia="仿宋_GB2312" w:cs="仿宋_GB2312"/>
          <w:sz w:val="28"/>
          <w:szCs w:val="28"/>
        </w:rPr>
        <w:t>积极参加上级部门举办的多种形式的培训会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，不断提高对政务公开工作的认识和理解。</w:t>
      </w:r>
    </w:p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cs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="0" w:beforeLines="0" w:beforeAutospacing="0" w:after="240" w:afterLines="0" w:afterAutospacing="0"/>
        <w:ind w:firstLine="420"/>
        <w:jc w:val="both"/>
        <w:rPr>
          <w:rFonts w:hint="eastAsia" w:ascii="宋体" w:hAnsi="宋体" w:cs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收到和处理政府信息公开申请情况</w:t>
      </w:r>
    </w:p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cs="宋体"/>
          <w:b/>
          <w:sz w:val="24"/>
          <w:szCs w:val="24"/>
        </w:rPr>
      </w:pP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cs="宋体"/>
          <w:b/>
          <w:sz w:val="24"/>
          <w:szCs w:val="24"/>
        </w:rPr>
      </w:pPr>
    </w:p>
    <w:p>
      <w:pPr>
        <w:pStyle w:val="2"/>
        <w:widowControl/>
        <w:shd w:val="clear" w:color="auto" w:fill="FFFFFF"/>
        <w:spacing w:before="0" w:beforeLines="0" w:beforeAutospacing="0" w:after="0" w:afterLines="0" w:afterAutospacing="0"/>
        <w:ind w:firstLine="420"/>
        <w:jc w:val="both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beforeLines="0" w:afterLines="0"/>
        <w:jc w:val="both"/>
        <w:rPr>
          <w:rFonts w:hint="eastAsia" w:ascii="宋体" w:hAnsi="宋体" w:cs="宋体"/>
          <w:b/>
          <w:sz w:val="24"/>
          <w:szCs w:val="24"/>
        </w:rPr>
      </w:pPr>
    </w:p>
    <w:p>
      <w:pPr>
        <w:pStyle w:val="2"/>
        <w:widowControl/>
        <w:numPr>
          <w:ilvl w:val="0"/>
          <w:numId w:val="4"/>
        </w:numPr>
        <w:shd w:val="clear" w:color="auto" w:fill="FFFFFF"/>
        <w:spacing w:before="0" w:beforeLines="0" w:beforeAutospacing="0" w:after="0" w:afterLines="0" w:afterAutospacing="0" w:line="600" w:lineRule="exact"/>
        <w:ind w:firstLine="420"/>
        <w:jc w:val="both"/>
        <w:rPr>
          <w:rFonts w:hint="eastAsia" w:ascii="宋体" w:hAnsi="宋体" w:cs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存在的主要问题及改进情况</w:t>
      </w:r>
    </w:p>
    <w:p>
      <w:pPr>
        <w:numPr>
          <w:ilvl w:val="0"/>
          <w:numId w:val="5"/>
        </w:num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政务公开的时效性、内容的全面性不足。政务信息公开的时间不够及时，内容不够全面。</w:t>
      </w:r>
    </w:p>
    <w:p>
      <w:pPr>
        <w:numPr>
          <w:ilvl w:val="0"/>
          <w:numId w:val="0"/>
        </w:num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设立专人负责，及时有效的公布政务信息，领导监督定期检查公开内容。同时，从公开的重点领域入手，不断提高政务公开的全面性、规范性。</w:t>
      </w:r>
    </w:p>
    <w:p>
      <w:pPr>
        <w:numPr>
          <w:ilvl w:val="0"/>
          <w:numId w:val="5"/>
        </w:num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不够丰富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政务公开主要通过政务官网，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公开信息的覆盖面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不够丰富。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积极拓宽信息公开渠道，顺应“互联网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”的趋势利用微博等多种形式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进行政务信息公开。同时也要借助报纸、广播等传统方式进行政务公开，切实保障人民群众的知情权。</w:t>
      </w:r>
    </w:p>
    <w:p>
      <w:pPr>
        <w:pStyle w:val="2"/>
        <w:widowControl/>
        <w:shd w:val="clear" w:color="auto" w:fill="FFFFFF"/>
        <w:spacing w:before="0" w:beforeLines="0" w:beforeAutospacing="0" w:after="0" w:afterLines="0" w:afterAutospacing="0" w:line="600" w:lineRule="exact"/>
        <w:ind w:firstLine="42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六、其他需要报告的事项</w:t>
      </w:r>
    </w:p>
    <w:p>
      <w:pPr>
        <w:spacing w:beforeLines="0" w:afterLines="0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无。</w:t>
      </w:r>
    </w:p>
    <w:p>
      <w:pPr>
        <w:spacing w:line="590" w:lineRule="exact"/>
        <w:ind w:right="-105" w:rightChars="-50"/>
        <w:rPr>
          <w:rFonts w:hint="eastAsia" w:ascii="Times New Roman" w:hAnsi="Times New Roman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/>
        <w:rPr>
          <w:rFonts w:hint="eastAsia" w:ascii="Times New Roman" w:hAnsi="Times New Roman" w:eastAsia="方正黑体简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D3853"/>
    <w:multiLevelType w:val="multilevel"/>
    <w:tmpl w:val="EADD3853"/>
    <w:lvl w:ilvl="0" w:tentative="0">
      <w:start w:val="1"/>
      <w:numFmt w:val="chineseCounting"/>
      <w:suff w:val="space"/>
      <w:lvlText w:val="(%1)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EBA5F4D0"/>
    <w:multiLevelType w:val="singleLevel"/>
    <w:tmpl w:val="EBA5F4D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7043FC"/>
    <w:multiLevelType w:val="singleLevel"/>
    <w:tmpl w:val="ED7043F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5252468"/>
    <w:multiLevelType w:val="multilevel"/>
    <w:tmpl w:val="15252468"/>
    <w:lvl w:ilvl="0" w:tentative="0">
      <w:start w:val="5"/>
      <w:numFmt w:val="chineseCounting"/>
      <w:suff w:val="nothing"/>
      <w:lvlText w:val="%1、"/>
      <w:lvlJc w:val="left"/>
      <w:rPr>
        <w:rFonts w:hint="eastAsia"/>
        <w:sz w:val="32"/>
        <w:szCs w:val="32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220048E3"/>
    <w:multiLevelType w:val="singleLevel"/>
    <w:tmpl w:val="220048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D21D7"/>
    <w:rsid w:val="02F827AE"/>
    <w:rsid w:val="030E4489"/>
    <w:rsid w:val="040E266A"/>
    <w:rsid w:val="048D03A6"/>
    <w:rsid w:val="066B50E5"/>
    <w:rsid w:val="0BA81CF4"/>
    <w:rsid w:val="0F855859"/>
    <w:rsid w:val="161000FC"/>
    <w:rsid w:val="168F0D6A"/>
    <w:rsid w:val="1BBE6FF1"/>
    <w:rsid w:val="22803C51"/>
    <w:rsid w:val="28FE44BF"/>
    <w:rsid w:val="30122648"/>
    <w:rsid w:val="35294DD6"/>
    <w:rsid w:val="36C62E1B"/>
    <w:rsid w:val="48E62741"/>
    <w:rsid w:val="4AA20B5D"/>
    <w:rsid w:val="55A40505"/>
    <w:rsid w:val="59956A89"/>
    <w:rsid w:val="61C055B1"/>
    <w:rsid w:val="64566535"/>
    <w:rsid w:val="687B31AC"/>
    <w:rsid w:val="68ED34D2"/>
    <w:rsid w:val="71241A1C"/>
    <w:rsid w:val="744355F3"/>
    <w:rsid w:val="756F1F33"/>
    <w:rsid w:val="7B4C6192"/>
    <w:rsid w:val="7CC93474"/>
    <w:rsid w:val="7F6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2021</a:t>
            </a:r>
            <a:r>
              <a:rPr altLang="en-US"/>
              <a:t>年审计局主动公开信息情况</a:t>
            </a:r>
            <a:endParaRPr altLang="en-US"/>
          </a:p>
        </c:rich>
      </c:tx>
      <c:layout>
        <c:manualLayout>
          <c:xMode val="edge"/>
          <c:yMode val="edge"/>
          <c:x val="0.255"/>
          <c:y val="0.0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工作表.xlsx]Sheet1'!$A$1:$E$1</c:f>
              <c:strCache>
                <c:ptCount val="5"/>
                <c:pt idx="0">
                  <c:v>机构职能</c:v>
                </c:pt>
                <c:pt idx="1">
                  <c:v>财政信息</c:v>
                </c:pt>
                <c:pt idx="2">
                  <c:v>执行结果公开</c:v>
                </c:pt>
                <c:pt idx="3">
                  <c:v>公示公告</c:v>
                </c:pt>
                <c:pt idx="4">
                  <c:v>建议提案办理总体情况</c:v>
                </c:pt>
              </c:strCache>
            </c:strRef>
          </c:cat>
          <c:val>
            <c:numRef>
              <c:f>'[新建 XLSX 工作表.xlsx]Sheet1'!$A$2:$E$2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1860</Words>
  <Characters>1919</Characters>
  <Lines>0</Lines>
  <Paragraphs>0</Paragraphs>
  <TotalTime>6</TotalTime>
  <ScaleCrop>false</ScaleCrop>
  <LinksUpToDate>false</LinksUpToDate>
  <CharactersWithSpaces>2114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WPS_1633764793</cp:lastModifiedBy>
  <cp:lastPrinted>2022-01-17T00:41:00Z</cp:lastPrinted>
  <dcterms:modified xsi:type="dcterms:W3CDTF">2022-01-27T02:46:33Z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41D368056F9D45308D331F131C6CFA55</vt:lpwstr>
  </property>
</Properties>
</file>