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ascii="方正粗黑宋简体" w:hAnsi="方正粗黑宋简体" w:eastAsia="方正粗黑宋简体" w:cs="宋体"/>
          <w:color w:val="333333"/>
          <w:kern w:val="0"/>
          <w:sz w:val="44"/>
          <w:szCs w:val="44"/>
        </w:rPr>
      </w:pPr>
      <w:bookmarkStart w:id="0" w:name="_GoBack"/>
      <w:r>
        <w:rPr>
          <w:rFonts w:hint="eastAsia" w:ascii="方正粗黑宋简体" w:hAnsi="方正粗黑宋简体" w:eastAsia="方正粗黑宋简体" w:cs="宋体"/>
          <w:color w:val="333333"/>
          <w:kern w:val="0"/>
          <w:sz w:val="44"/>
          <w:szCs w:val="44"/>
        </w:rPr>
        <w:t>曲阜市水务局2023年</w:t>
      </w:r>
      <w:r>
        <w:rPr>
          <w:rFonts w:ascii="方正粗黑宋简体" w:hAnsi="方正粗黑宋简体" w:eastAsia="方正粗黑宋简体" w:cs="宋体"/>
          <w:color w:val="333333"/>
          <w:kern w:val="0"/>
          <w:sz w:val="44"/>
          <w:szCs w:val="44"/>
        </w:rPr>
        <w:t>政府信息公开</w:t>
      </w:r>
    </w:p>
    <w:p>
      <w:pPr>
        <w:widowControl/>
        <w:spacing w:line="640" w:lineRule="exact"/>
        <w:jc w:val="center"/>
        <w:rPr>
          <w:rFonts w:ascii="方正粗黑宋简体" w:hAnsi="方正粗黑宋简体" w:eastAsia="方正粗黑宋简体" w:cs="宋体"/>
          <w:color w:val="333333"/>
          <w:kern w:val="0"/>
          <w:sz w:val="44"/>
          <w:szCs w:val="44"/>
        </w:rPr>
      </w:pPr>
      <w:r>
        <w:rPr>
          <w:rFonts w:ascii="方正粗黑宋简体" w:hAnsi="方正粗黑宋简体" w:eastAsia="方正粗黑宋简体" w:cs="宋体"/>
          <w:color w:val="333333"/>
          <w:kern w:val="0"/>
          <w:sz w:val="44"/>
          <w:szCs w:val="44"/>
        </w:rPr>
        <w:t>工作年度报告</w:t>
      </w:r>
    </w:p>
    <w:p>
      <w:pPr>
        <w:widowControl/>
        <w:spacing w:line="585" w:lineRule="atLeast"/>
        <w:jc w:val="center"/>
        <w:rPr>
          <w:rFonts w:ascii="方正粗黑宋简体" w:hAnsi="方正粗黑宋简体" w:eastAsia="方正粗黑宋简体" w:cs="宋体"/>
          <w:color w:val="333333"/>
          <w:kern w:val="0"/>
          <w:sz w:val="44"/>
          <w:szCs w:val="44"/>
        </w:rPr>
      </w:pPr>
    </w:p>
    <w:p>
      <w:pPr>
        <w:widowControl/>
        <w:spacing w:line="585" w:lineRule="atLeast"/>
        <w:ind w:firstLine="645"/>
        <w:jc w:val="lef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本报告由曲阜市水务局按照《中华人民共和国政府信息公开条例》（以下简称《条例》）和《中华人民共和国政府信息公开工作年度报告格式》（国办公开办函[2021]30号）要求编制。</w:t>
      </w:r>
    </w:p>
    <w:p>
      <w:pPr>
        <w:widowControl/>
        <w:spacing w:line="585" w:lineRule="atLeast"/>
        <w:ind w:firstLine="585"/>
        <w:jc w:val="lef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widowControl/>
        <w:spacing w:line="585" w:lineRule="atLeast"/>
        <w:ind w:firstLine="585"/>
        <w:jc w:val="lef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本报告所列数据的统计期限自202</w:t>
      </w:r>
      <w:r>
        <w:rPr>
          <w:rFonts w:ascii="仿宋_GB2312" w:hAnsi="微软雅黑" w:eastAsia="仿宋_GB2312" w:cs="宋体"/>
          <w:color w:val="333333"/>
          <w:kern w:val="0"/>
          <w:sz w:val="32"/>
          <w:szCs w:val="32"/>
        </w:rPr>
        <w:t>3</w:t>
      </w:r>
      <w:r>
        <w:rPr>
          <w:rFonts w:hint="eastAsia" w:ascii="仿宋_GB2312" w:hAnsi="微软雅黑" w:eastAsia="仿宋_GB2312" w:cs="宋体"/>
          <w:color w:val="333333"/>
          <w:kern w:val="0"/>
          <w:sz w:val="32"/>
          <w:szCs w:val="32"/>
        </w:rPr>
        <w:t>年1月1日起至202</w:t>
      </w:r>
      <w:r>
        <w:rPr>
          <w:rFonts w:ascii="仿宋_GB2312" w:hAnsi="微软雅黑" w:eastAsia="仿宋_GB2312" w:cs="宋体"/>
          <w:color w:val="333333"/>
          <w:kern w:val="0"/>
          <w:sz w:val="32"/>
          <w:szCs w:val="32"/>
        </w:rPr>
        <w:t>3</w:t>
      </w:r>
      <w:r>
        <w:rPr>
          <w:rFonts w:hint="eastAsia" w:ascii="仿宋_GB2312" w:hAnsi="微软雅黑" w:eastAsia="仿宋_GB2312" w:cs="宋体"/>
          <w:color w:val="333333"/>
          <w:kern w:val="0"/>
          <w:sz w:val="32"/>
          <w:szCs w:val="32"/>
        </w:rPr>
        <w:t>年12月31日止。本报告电子版可在“中国</w:t>
      </w:r>
      <w:r>
        <w:rPr>
          <w:rFonts w:ascii="Times New Roman" w:hAnsi="Times New Roman" w:eastAsia="方正仿宋简体" w:cs="Times New Roman"/>
          <w:b/>
          <w:color w:val="000000"/>
          <w:sz w:val="32"/>
          <w:szCs w:val="32"/>
        </w:rPr>
        <w:t>·</w:t>
      </w:r>
      <w:r>
        <w:rPr>
          <w:rFonts w:hint="eastAsia" w:ascii="仿宋_GB2312" w:hAnsi="微软雅黑" w:eastAsia="仿宋_GB2312" w:cs="宋体"/>
          <w:color w:val="333333"/>
          <w:kern w:val="0"/>
          <w:sz w:val="32"/>
          <w:szCs w:val="32"/>
        </w:rPr>
        <w:t>曲阜”政府门户网站（www.qufu.gov.cn）查阅或下载。如对本报告有疑问，请与曲阜市水务局联系（地址:曲阜市神道路4号，联系电话：0537-4412340）。</w:t>
      </w:r>
    </w:p>
    <w:p>
      <w:pPr>
        <w:widowControl/>
        <w:spacing w:line="555" w:lineRule="atLeast"/>
        <w:ind w:firstLine="645"/>
        <w:jc w:val="left"/>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一、总体情况</w:t>
      </w:r>
    </w:p>
    <w:p>
      <w:pPr>
        <w:widowControl/>
        <w:spacing w:line="555" w:lineRule="atLeast"/>
        <w:ind w:firstLine="645"/>
        <w:jc w:val="lef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202</w:t>
      </w:r>
      <w:r>
        <w:rPr>
          <w:rFonts w:ascii="仿宋_GB2312" w:hAnsi="微软雅黑" w:eastAsia="仿宋_GB2312" w:cs="宋体"/>
          <w:color w:val="333333"/>
          <w:kern w:val="0"/>
          <w:sz w:val="32"/>
          <w:szCs w:val="32"/>
        </w:rPr>
        <w:t>3</w:t>
      </w:r>
      <w:r>
        <w:rPr>
          <w:rFonts w:hint="eastAsia" w:ascii="仿宋_GB2312" w:hAnsi="微软雅黑" w:eastAsia="仿宋_GB2312" w:cs="宋体"/>
          <w:color w:val="333333"/>
          <w:kern w:val="0"/>
          <w:sz w:val="32"/>
          <w:szCs w:val="32"/>
        </w:rPr>
        <w:t>年，在市委、市政府、</w:t>
      </w:r>
      <w:r>
        <w:rPr>
          <w:rFonts w:ascii="仿宋_GB2312" w:hAnsi="微软雅黑" w:eastAsia="仿宋_GB2312" w:cs="宋体"/>
          <w:color w:val="333333"/>
          <w:kern w:val="0"/>
          <w:sz w:val="32"/>
          <w:szCs w:val="32"/>
        </w:rPr>
        <w:t>市</w:t>
      </w:r>
      <w:r>
        <w:rPr>
          <w:rFonts w:hint="eastAsia" w:ascii="仿宋_GB2312" w:hAnsi="微软雅黑" w:eastAsia="仿宋_GB2312" w:cs="宋体"/>
          <w:color w:val="333333"/>
          <w:kern w:val="0"/>
          <w:sz w:val="32"/>
          <w:szCs w:val="32"/>
        </w:rPr>
        <w:t>政务公开领导小组</w:t>
      </w:r>
      <w:r>
        <w:rPr>
          <w:rFonts w:ascii="仿宋_GB2312" w:hAnsi="微软雅黑" w:eastAsia="仿宋_GB2312" w:cs="宋体"/>
          <w:color w:val="333333"/>
          <w:kern w:val="0"/>
          <w:sz w:val="32"/>
          <w:szCs w:val="32"/>
        </w:rPr>
        <w:t>的</w:t>
      </w:r>
      <w:r>
        <w:rPr>
          <w:rFonts w:hint="eastAsia" w:ascii="仿宋_GB2312" w:hAnsi="微软雅黑" w:eastAsia="仿宋_GB2312" w:cs="宋体"/>
          <w:color w:val="333333"/>
          <w:kern w:val="0"/>
          <w:sz w:val="32"/>
          <w:szCs w:val="32"/>
        </w:rPr>
        <w:t>正确领导下，曲阜市水务局立足</w:t>
      </w:r>
      <w:r>
        <w:rPr>
          <w:rFonts w:ascii="仿宋_GB2312" w:hAnsi="微软雅黑" w:eastAsia="仿宋_GB2312" w:cs="宋体"/>
          <w:color w:val="333333"/>
          <w:kern w:val="0"/>
          <w:sz w:val="32"/>
          <w:szCs w:val="32"/>
        </w:rPr>
        <w:t>自身工作实际，</w:t>
      </w:r>
      <w:r>
        <w:rPr>
          <w:rFonts w:hint="eastAsia" w:ascii="仿宋_GB2312" w:hAnsi="微软雅黑" w:eastAsia="仿宋_GB2312" w:cs="宋体"/>
          <w:color w:val="333333"/>
          <w:kern w:val="0"/>
          <w:sz w:val="32"/>
          <w:szCs w:val="32"/>
        </w:rPr>
        <w:t>认真落实贯彻政府信息公开条例，加强组织领导，完善制度建设，规范工作流程，创新工作方法</w:t>
      </w:r>
      <w:r>
        <w:rPr>
          <w:rFonts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rPr>
        <w:t>扎实</w:t>
      </w:r>
      <w:r>
        <w:rPr>
          <w:rFonts w:ascii="仿宋_GB2312" w:hAnsi="微软雅黑" w:eastAsia="仿宋_GB2312" w:cs="宋体"/>
          <w:color w:val="333333"/>
          <w:kern w:val="0"/>
          <w:sz w:val="32"/>
          <w:szCs w:val="32"/>
        </w:rPr>
        <w:t>推进</w:t>
      </w:r>
      <w:r>
        <w:rPr>
          <w:rFonts w:hint="eastAsia" w:ascii="仿宋_GB2312" w:hAnsi="微软雅黑" w:eastAsia="仿宋_GB2312" w:cs="宋体"/>
          <w:color w:val="333333"/>
          <w:kern w:val="0"/>
          <w:sz w:val="32"/>
          <w:szCs w:val="32"/>
        </w:rPr>
        <w:t>政府信息公开工作，</w:t>
      </w:r>
      <w:r>
        <w:rPr>
          <w:rFonts w:ascii="仿宋_GB2312" w:hAnsi="微软雅黑" w:eastAsia="仿宋_GB2312" w:cs="宋体"/>
          <w:color w:val="333333"/>
          <w:kern w:val="0"/>
          <w:sz w:val="32"/>
          <w:szCs w:val="32"/>
        </w:rPr>
        <w:t>主要做好了以下几个方面工作</w:t>
      </w:r>
      <w:r>
        <w:rPr>
          <w:rFonts w:hint="eastAsia" w:ascii="仿宋_GB2312" w:hAnsi="微软雅黑" w:eastAsia="仿宋_GB2312" w:cs="宋体"/>
          <w:color w:val="333333"/>
          <w:kern w:val="0"/>
          <w:sz w:val="32"/>
          <w:szCs w:val="32"/>
        </w:rPr>
        <w:t>：</w:t>
      </w:r>
    </w:p>
    <w:p>
      <w:pPr>
        <w:widowControl/>
        <w:spacing w:line="555" w:lineRule="atLeast"/>
        <w:ind w:firstLine="645"/>
        <w:jc w:val="left"/>
        <w:rPr>
          <w:rFonts w:ascii="微软雅黑" w:hAnsi="微软雅黑" w:eastAsia="微软雅黑" w:cs="宋体"/>
          <w:color w:val="333333"/>
          <w:kern w:val="0"/>
          <w:szCs w:val="21"/>
        </w:rPr>
      </w:pPr>
      <w:r>
        <w:rPr>
          <w:rFonts w:hint="eastAsia" w:ascii="楷体_GB2312" w:hAnsi="微软雅黑" w:eastAsia="楷体_GB2312" w:cs="宋体"/>
          <w:color w:val="333333"/>
          <w:kern w:val="0"/>
          <w:sz w:val="32"/>
          <w:szCs w:val="32"/>
        </w:rPr>
        <w:t>（一）主动公开方面</w:t>
      </w:r>
    </w:p>
    <w:p>
      <w:pPr>
        <w:widowControl/>
        <w:spacing w:line="555" w:lineRule="atLeast"/>
        <w:ind w:firstLine="420"/>
        <w:jc w:val="left"/>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我局围绕202</w:t>
      </w:r>
      <w:r>
        <w:rPr>
          <w:rFonts w:ascii="仿宋_GB2312" w:hAnsi="微软雅黑" w:eastAsia="仿宋_GB2312" w:cs="宋体"/>
          <w:color w:val="333333"/>
          <w:kern w:val="0"/>
          <w:sz w:val="32"/>
          <w:szCs w:val="32"/>
        </w:rPr>
        <w:t>3</w:t>
      </w:r>
      <w:r>
        <w:rPr>
          <w:rFonts w:hint="eastAsia" w:ascii="仿宋_GB2312" w:hAnsi="微软雅黑" w:eastAsia="仿宋_GB2312" w:cs="宋体"/>
          <w:color w:val="333333"/>
          <w:kern w:val="0"/>
          <w:sz w:val="32"/>
          <w:szCs w:val="32"/>
        </w:rPr>
        <w:t>年度重点工作及</w:t>
      </w:r>
      <w:r>
        <w:rPr>
          <w:rFonts w:ascii="仿宋_GB2312" w:hAnsi="微软雅黑" w:eastAsia="仿宋_GB2312" w:cs="宋体"/>
          <w:color w:val="333333"/>
          <w:kern w:val="0"/>
          <w:sz w:val="32"/>
          <w:szCs w:val="32"/>
        </w:rPr>
        <w:t>涉及</w:t>
      </w:r>
      <w:r>
        <w:rPr>
          <w:rFonts w:hint="eastAsia" w:ascii="仿宋_GB2312" w:hAnsi="微软雅黑" w:eastAsia="仿宋_GB2312" w:cs="宋体"/>
          <w:color w:val="333333"/>
          <w:kern w:val="0"/>
          <w:sz w:val="32"/>
          <w:szCs w:val="32"/>
        </w:rPr>
        <w:t>群众较为关注</w:t>
      </w:r>
      <w:r>
        <w:rPr>
          <w:rFonts w:ascii="仿宋_GB2312" w:hAnsi="微软雅黑" w:eastAsia="仿宋_GB2312" w:cs="宋体"/>
          <w:color w:val="333333"/>
          <w:kern w:val="0"/>
          <w:sz w:val="32"/>
          <w:szCs w:val="32"/>
        </w:rPr>
        <w:t>的民生</w:t>
      </w:r>
      <w:r>
        <w:rPr>
          <w:rFonts w:hint="eastAsia" w:ascii="仿宋_GB2312" w:hAnsi="微软雅黑" w:eastAsia="仿宋_GB2312" w:cs="宋体"/>
          <w:color w:val="333333"/>
          <w:kern w:val="0"/>
          <w:sz w:val="32"/>
          <w:szCs w:val="32"/>
        </w:rPr>
        <w:t>工作为</w:t>
      </w:r>
      <w:r>
        <w:rPr>
          <w:rFonts w:ascii="仿宋_GB2312" w:hAnsi="微软雅黑" w:eastAsia="仿宋_GB2312" w:cs="宋体"/>
          <w:color w:val="333333"/>
          <w:kern w:val="0"/>
          <w:sz w:val="32"/>
          <w:szCs w:val="32"/>
        </w:rPr>
        <w:t>抓手</w:t>
      </w:r>
      <w:r>
        <w:rPr>
          <w:rFonts w:hint="eastAsia" w:ascii="仿宋_GB2312" w:hAnsi="微软雅黑" w:eastAsia="仿宋_GB2312" w:cs="宋体"/>
          <w:color w:val="333333"/>
          <w:kern w:val="0"/>
          <w:sz w:val="32"/>
          <w:szCs w:val="32"/>
        </w:rPr>
        <w:t>，通过各种媒体</w:t>
      </w:r>
      <w:r>
        <w:rPr>
          <w:rFonts w:ascii="仿宋_GB2312" w:hAnsi="微软雅黑" w:eastAsia="仿宋_GB2312" w:cs="宋体"/>
          <w:color w:val="333333"/>
          <w:kern w:val="0"/>
          <w:sz w:val="32"/>
          <w:szCs w:val="32"/>
        </w:rPr>
        <w:t>平台</w:t>
      </w:r>
      <w:r>
        <w:rPr>
          <w:rFonts w:hint="eastAsia" w:ascii="仿宋_GB2312" w:hAnsi="微软雅黑" w:eastAsia="仿宋_GB2312" w:cs="宋体"/>
          <w:color w:val="333333"/>
          <w:kern w:val="0"/>
          <w:sz w:val="32"/>
          <w:szCs w:val="32"/>
        </w:rPr>
        <w:t>主动公开信息</w:t>
      </w:r>
      <w:r>
        <w:rPr>
          <w:rFonts w:ascii="仿宋_GB2312" w:hAnsi="微软雅黑" w:eastAsia="仿宋_GB2312" w:cs="宋体"/>
          <w:color w:val="333333"/>
          <w:kern w:val="0"/>
          <w:sz w:val="32"/>
          <w:szCs w:val="32"/>
        </w:rPr>
        <w:t>65</w:t>
      </w:r>
      <w:r>
        <w:rPr>
          <w:rFonts w:hint="eastAsia" w:ascii="仿宋_GB2312" w:hAnsi="微软雅黑" w:eastAsia="仿宋_GB2312" w:cs="宋体"/>
          <w:color w:val="333333"/>
          <w:kern w:val="0"/>
          <w:sz w:val="32"/>
          <w:szCs w:val="32"/>
        </w:rPr>
        <w:t>条。其中通过曲阜市门户网站主动公开各类政府信息</w:t>
      </w:r>
      <w:r>
        <w:rPr>
          <w:rFonts w:ascii="仿宋_GB2312" w:hAnsi="微软雅黑" w:eastAsia="仿宋_GB2312" w:cs="宋体"/>
          <w:color w:val="333333"/>
          <w:kern w:val="0"/>
          <w:sz w:val="32"/>
          <w:szCs w:val="32"/>
        </w:rPr>
        <w:t>25</w:t>
      </w:r>
      <w:r>
        <w:rPr>
          <w:rFonts w:hint="eastAsia" w:ascii="仿宋_GB2312" w:hAnsi="微软雅黑" w:eastAsia="仿宋_GB2312" w:cs="宋体"/>
          <w:color w:val="333333"/>
          <w:kern w:val="0"/>
          <w:sz w:val="32"/>
          <w:szCs w:val="32"/>
        </w:rPr>
        <w:t>条，占比</w:t>
      </w:r>
      <w:r>
        <w:rPr>
          <w:rFonts w:ascii="仿宋_GB2312" w:hAnsi="微软雅黑" w:eastAsia="仿宋_GB2312" w:cs="宋体"/>
          <w:color w:val="333333"/>
          <w:kern w:val="0"/>
          <w:sz w:val="32"/>
          <w:szCs w:val="32"/>
        </w:rPr>
        <w:t>38</w:t>
      </w:r>
      <w:r>
        <w:rPr>
          <w:rFonts w:hint="eastAsia" w:ascii="仿宋_GB2312" w:hAnsi="微软雅黑" w:eastAsia="仿宋_GB2312" w:cs="宋体"/>
          <w:color w:val="333333"/>
          <w:kern w:val="0"/>
          <w:sz w:val="32"/>
          <w:szCs w:val="32"/>
        </w:rPr>
        <w:t>%；通过水务局门户网站发布各类信息</w:t>
      </w:r>
      <w:r>
        <w:rPr>
          <w:rFonts w:ascii="仿宋_GB2312" w:hAnsi="微软雅黑" w:eastAsia="仿宋_GB2312" w:cs="宋体"/>
          <w:color w:val="333333"/>
          <w:kern w:val="0"/>
          <w:sz w:val="32"/>
          <w:szCs w:val="32"/>
        </w:rPr>
        <w:t>40</w:t>
      </w:r>
      <w:r>
        <w:rPr>
          <w:rFonts w:hint="eastAsia" w:ascii="仿宋_GB2312" w:hAnsi="微软雅黑" w:eastAsia="仿宋_GB2312" w:cs="宋体"/>
          <w:color w:val="333333"/>
          <w:kern w:val="0"/>
          <w:sz w:val="32"/>
          <w:szCs w:val="32"/>
        </w:rPr>
        <w:t>条，占比</w:t>
      </w:r>
      <w:r>
        <w:rPr>
          <w:rFonts w:ascii="仿宋_GB2312" w:hAnsi="微软雅黑" w:eastAsia="仿宋_GB2312" w:cs="宋体"/>
          <w:color w:val="333333"/>
          <w:kern w:val="0"/>
          <w:sz w:val="32"/>
          <w:szCs w:val="32"/>
        </w:rPr>
        <w:t>62</w:t>
      </w:r>
      <w:r>
        <w:rPr>
          <w:rFonts w:hint="eastAsia" w:ascii="仿宋_GB2312" w:hAnsi="微软雅黑" w:eastAsia="仿宋_GB2312" w:cs="宋体"/>
          <w:color w:val="333333"/>
          <w:kern w:val="0"/>
          <w:sz w:val="32"/>
          <w:szCs w:val="32"/>
        </w:rPr>
        <w:t>%。</w:t>
      </w:r>
    </w:p>
    <w:p>
      <w:pPr>
        <w:widowControl/>
        <w:spacing w:line="555" w:lineRule="atLeast"/>
        <w:ind w:firstLine="420"/>
        <w:jc w:val="left"/>
        <w:rPr>
          <w:rFonts w:ascii="微软雅黑" w:hAnsi="微软雅黑" w:eastAsia="微软雅黑" w:cs="宋体"/>
          <w:color w:val="333333"/>
          <w:kern w:val="0"/>
          <w:szCs w:val="21"/>
        </w:rPr>
      </w:pPr>
      <w:r>
        <w:drawing>
          <wp:inline distT="0" distB="0" distL="0" distR="0">
            <wp:extent cx="4572000" cy="2743200"/>
            <wp:effectExtent l="1905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widowControl/>
        <w:spacing w:line="450" w:lineRule="atLeast"/>
        <w:jc w:val="center"/>
        <w:rPr>
          <w:rFonts w:ascii="微软雅黑" w:hAnsi="微软雅黑" w:eastAsia="微软雅黑" w:cs="宋体"/>
          <w:color w:val="333333"/>
          <w:kern w:val="0"/>
          <w:sz w:val="24"/>
          <w:szCs w:val="24"/>
        </w:rPr>
      </w:pPr>
    </w:p>
    <w:p>
      <w:pPr>
        <w:widowControl/>
        <w:spacing w:line="555" w:lineRule="atLeast"/>
        <w:ind w:firstLine="645"/>
        <w:jc w:val="lef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具体包括政策解读</w:t>
      </w:r>
      <w:r>
        <w:rPr>
          <w:rFonts w:ascii="仿宋_GB2312" w:hAnsi="微软雅黑" w:eastAsia="仿宋_GB2312" w:cs="宋体"/>
          <w:color w:val="333333"/>
          <w:kern w:val="0"/>
          <w:sz w:val="32"/>
          <w:szCs w:val="32"/>
        </w:rPr>
        <w:t>1</w:t>
      </w:r>
      <w:r>
        <w:rPr>
          <w:rFonts w:hint="eastAsia" w:ascii="仿宋_GB2312" w:hAnsi="微软雅黑" w:eastAsia="仿宋_GB2312" w:cs="宋体"/>
          <w:color w:val="333333"/>
          <w:kern w:val="0"/>
          <w:sz w:val="32"/>
          <w:szCs w:val="32"/>
        </w:rPr>
        <w:t>条，机构职能1条，财政信息3条，行政执法公示</w:t>
      </w:r>
      <w:r>
        <w:rPr>
          <w:rFonts w:ascii="仿宋_GB2312" w:hAnsi="微软雅黑" w:eastAsia="仿宋_GB2312" w:cs="宋体"/>
          <w:color w:val="333333"/>
          <w:kern w:val="0"/>
          <w:sz w:val="32"/>
          <w:szCs w:val="32"/>
        </w:rPr>
        <w:t>8</w:t>
      </w:r>
      <w:r>
        <w:rPr>
          <w:rFonts w:hint="eastAsia" w:ascii="仿宋_GB2312" w:hAnsi="微软雅黑" w:eastAsia="仿宋_GB2312" w:cs="宋体"/>
          <w:color w:val="333333"/>
          <w:kern w:val="0"/>
          <w:sz w:val="32"/>
          <w:szCs w:val="32"/>
        </w:rPr>
        <w:t>条，建议提案办理</w:t>
      </w:r>
      <w:r>
        <w:rPr>
          <w:rFonts w:ascii="仿宋_GB2312" w:hAnsi="微软雅黑" w:eastAsia="仿宋_GB2312" w:cs="宋体"/>
          <w:color w:val="333333"/>
          <w:kern w:val="0"/>
          <w:sz w:val="32"/>
          <w:szCs w:val="32"/>
        </w:rPr>
        <w:t>9</w:t>
      </w:r>
      <w:r>
        <w:rPr>
          <w:rFonts w:hint="eastAsia" w:ascii="仿宋_GB2312" w:hAnsi="微软雅黑" w:eastAsia="仿宋_GB2312" w:cs="宋体"/>
          <w:color w:val="333333"/>
          <w:kern w:val="0"/>
          <w:sz w:val="32"/>
          <w:szCs w:val="32"/>
        </w:rPr>
        <w:t>条，重点建设项目</w:t>
      </w:r>
      <w:r>
        <w:rPr>
          <w:rFonts w:ascii="仿宋_GB2312" w:hAnsi="微软雅黑" w:eastAsia="仿宋_GB2312" w:cs="宋体"/>
          <w:color w:val="333333"/>
          <w:kern w:val="0"/>
          <w:sz w:val="32"/>
          <w:szCs w:val="32"/>
        </w:rPr>
        <w:t>1</w:t>
      </w:r>
      <w:r>
        <w:rPr>
          <w:rFonts w:hint="eastAsia" w:ascii="仿宋_GB2312" w:hAnsi="微软雅黑" w:eastAsia="仿宋_GB2312" w:cs="宋体"/>
          <w:color w:val="333333"/>
          <w:kern w:val="0"/>
          <w:sz w:val="32"/>
          <w:szCs w:val="32"/>
        </w:rPr>
        <w:t>条，信息公开</w:t>
      </w:r>
      <w:r>
        <w:rPr>
          <w:rFonts w:ascii="仿宋_GB2312" w:hAnsi="微软雅黑" w:eastAsia="仿宋_GB2312" w:cs="宋体"/>
          <w:color w:val="333333"/>
          <w:kern w:val="0"/>
          <w:sz w:val="32"/>
          <w:szCs w:val="32"/>
        </w:rPr>
        <w:t>年报</w:t>
      </w:r>
      <w:r>
        <w:rPr>
          <w:rFonts w:hint="eastAsia" w:ascii="仿宋_GB2312" w:hAnsi="微软雅黑" w:eastAsia="仿宋_GB2312" w:cs="宋体"/>
          <w:color w:val="333333"/>
          <w:kern w:val="0"/>
          <w:sz w:val="32"/>
          <w:szCs w:val="32"/>
        </w:rPr>
        <w:t>2条</w:t>
      </w:r>
      <w:r>
        <w:rPr>
          <w:rFonts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rPr>
        <w:t>业务工作</w:t>
      </w:r>
      <w:r>
        <w:rPr>
          <w:rFonts w:ascii="仿宋_GB2312" w:hAnsi="微软雅黑" w:eastAsia="仿宋_GB2312" w:cs="宋体"/>
          <w:color w:val="333333"/>
          <w:kern w:val="0"/>
          <w:sz w:val="32"/>
          <w:szCs w:val="32"/>
        </w:rPr>
        <w:t>9</w:t>
      </w:r>
      <w:r>
        <w:rPr>
          <w:rFonts w:hint="eastAsia" w:ascii="仿宋_GB2312" w:hAnsi="微软雅黑" w:eastAsia="仿宋_GB2312" w:cs="宋体"/>
          <w:color w:val="333333"/>
          <w:kern w:val="0"/>
          <w:sz w:val="32"/>
          <w:szCs w:val="32"/>
        </w:rPr>
        <w:t>条，公示公告1</w:t>
      </w:r>
      <w:r>
        <w:rPr>
          <w:rFonts w:ascii="仿宋_GB2312" w:hAnsi="微软雅黑" w:eastAsia="仿宋_GB2312" w:cs="宋体"/>
          <w:color w:val="333333"/>
          <w:kern w:val="0"/>
          <w:sz w:val="32"/>
          <w:szCs w:val="32"/>
        </w:rPr>
        <w:t>8</w:t>
      </w:r>
      <w:r>
        <w:rPr>
          <w:rFonts w:hint="eastAsia" w:ascii="仿宋_GB2312" w:hAnsi="微软雅黑" w:eastAsia="仿宋_GB2312" w:cs="宋体"/>
          <w:color w:val="333333"/>
          <w:kern w:val="0"/>
          <w:sz w:val="32"/>
          <w:szCs w:val="32"/>
        </w:rPr>
        <w:t>条，要素推荐</w:t>
      </w:r>
      <w:r>
        <w:rPr>
          <w:rFonts w:ascii="仿宋_GB2312" w:hAnsi="微软雅黑" w:eastAsia="仿宋_GB2312" w:cs="宋体"/>
          <w:color w:val="333333"/>
          <w:kern w:val="0"/>
          <w:sz w:val="32"/>
          <w:szCs w:val="32"/>
        </w:rPr>
        <w:t>6</w:t>
      </w:r>
      <w:r>
        <w:rPr>
          <w:rFonts w:hint="eastAsia" w:ascii="仿宋_GB2312" w:hAnsi="微软雅黑" w:eastAsia="仿宋_GB2312" w:cs="宋体"/>
          <w:color w:val="333333"/>
          <w:kern w:val="0"/>
          <w:sz w:val="32"/>
          <w:szCs w:val="32"/>
        </w:rPr>
        <w:t>条，政策法规</w:t>
      </w:r>
      <w:r>
        <w:rPr>
          <w:rFonts w:ascii="仿宋_GB2312" w:hAnsi="微软雅黑" w:eastAsia="仿宋_GB2312" w:cs="宋体"/>
          <w:color w:val="333333"/>
          <w:kern w:val="0"/>
          <w:sz w:val="32"/>
          <w:szCs w:val="32"/>
        </w:rPr>
        <w:t>7</w:t>
      </w:r>
      <w:r>
        <w:rPr>
          <w:rFonts w:hint="eastAsia" w:ascii="仿宋_GB2312" w:hAnsi="微软雅黑" w:eastAsia="仿宋_GB2312" w:cs="宋体"/>
          <w:color w:val="333333"/>
          <w:kern w:val="0"/>
          <w:sz w:val="32"/>
          <w:szCs w:val="32"/>
        </w:rPr>
        <w:t>条。</w:t>
      </w:r>
    </w:p>
    <w:p>
      <w:pPr>
        <w:widowControl/>
        <w:spacing w:line="555" w:lineRule="atLeast"/>
        <w:ind w:firstLine="645"/>
        <w:jc w:val="left"/>
        <w:rPr>
          <w:rFonts w:ascii="微软雅黑" w:hAnsi="微软雅黑" w:eastAsia="微软雅黑" w:cs="宋体"/>
          <w:color w:val="333333"/>
          <w:kern w:val="0"/>
          <w:szCs w:val="21"/>
        </w:rPr>
      </w:pPr>
      <w:r>
        <w:rPr>
          <w:rFonts w:hint="eastAsia" w:ascii="楷体_GB2312" w:hAnsi="微软雅黑" w:eastAsia="楷体_GB2312" w:cs="宋体"/>
          <w:color w:val="333333"/>
          <w:kern w:val="0"/>
          <w:sz w:val="32"/>
          <w:szCs w:val="32"/>
        </w:rPr>
        <w:t>（二）依申请公开情况</w:t>
      </w:r>
    </w:p>
    <w:p>
      <w:pPr>
        <w:widowControl/>
        <w:spacing w:line="555" w:lineRule="atLeast"/>
        <w:ind w:firstLine="645"/>
        <w:jc w:val="lef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202</w:t>
      </w:r>
      <w:r>
        <w:rPr>
          <w:rFonts w:ascii="仿宋_GB2312" w:hAnsi="微软雅黑" w:eastAsia="仿宋_GB2312" w:cs="宋体"/>
          <w:color w:val="333333"/>
          <w:kern w:val="0"/>
          <w:sz w:val="32"/>
          <w:szCs w:val="32"/>
        </w:rPr>
        <w:t>3</w:t>
      </w:r>
      <w:r>
        <w:rPr>
          <w:rFonts w:hint="eastAsia" w:ascii="仿宋_GB2312" w:hAnsi="微软雅黑" w:eastAsia="仿宋_GB2312" w:cs="宋体"/>
          <w:color w:val="333333"/>
          <w:kern w:val="0"/>
          <w:sz w:val="32"/>
          <w:szCs w:val="32"/>
        </w:rPr>
        <w:t>年，我局未收到政府信息公开申请，未向申请人收取任何费用。未收到以政府信息公开为由提起的行政复议和行政诉讼。</w:t>
      </w:r>
    </w:p>
    <w:p>
      <w:pPr>
        <w:widowControl/>
        <w:spacing w:line="555" w:lineRule="atLeast"/>
        <w:ind w:firstLine="645"/>
        <w:jc w:val="left"/>
        <w:rPr>
          <w:rFonts w:ascii="微软雅黑" w:hAnsi="微软雅黑" w:eastAsia="微软雅黑" w:cs="宋体"/>
          <w:color w:val="333333"/>
          <w:kern w:val="0"/>
          <w:szCs w:val="21"/>
        </w:rPr>
      </w:pPr>
      <w:r>
        <w:rPr>
          <w:rFonts w:hint="eastAsia" w:ascii="楷体_GB2312" w:hAnsi="微软雅黑" w:eastAsia="楷体_GB2312" w:cs="宋体"/>
          <w:color w:val="333333"/>
          <w:kern w:val="0"/>
          <w:sz w:val="32"/>
          <w:szCs w:val="32"/>
        </w:rPr>
        <w:t>（三）政府信息管理情况</w:t>
      </w:r>
    </w:p>
    <w:p>
      <w:pPr>
        <w:widowControl/>
        <w:spacing w:line="555" w:lineRule="atLeast"/>
        <w:ind w:firstLine="645"/>
        <w:jc w:val="lef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大力推进</w:t>
      </w:r>
      <w:r>
        <w:rPr>
          <w:rFonts w:ascii="仿宋_GB2312" w:hAnsi="微软雅黑" w:eastAsia="仿宋_GB2312" w:cs="宋体"/>
          <w:color w:val="333333"/>
          <w:kern w:val="0"/>
          <w:sz w:val="32"/>
          <w:szCs w:val="32"/>
        </w:rPr>
        <w:t>政府信息公开工作的同时，不断</w:t>
      </w:r>
      <w:r>
        <w:rPr>
          <w:rFonts w:hint="eastAsia" w:ascii="仿宋_GB2312" w:hAnsi="微软雅黑" w:eastAsia="仿宋_GB2312" w:cs="宋体"/>
          <w:color w:val="333333"/>
          <w:kern w:val="0"/>
          <w:sz w:val="32"/>
          <w:szCs w:val="32"/>
        </w:rPr>
        <w:t>加强信息管理力度，强化“谁公开谁审查、谁审查谁负责”责任意识和“先审查、后公开”的工作原则，强化政府信息公开保密审查工作机制， 202</w:t>
      </w:r>
      <w:r>
        <w:rPr>
          <w:rFonts w:ascii="仿宋_GB2312" w:hAnsi="微软雅黑" w:eastAsia="仿宋_GB2312" w:cs="宋体"/>
          <w:color w:val="333333"/>
          <w:kern w:val="0"/>
          <w:sz w:val="32"/>
          <w:szCs w:val="32"/>
        </w:rPr>
        <w:t>3</w:t>
      </w:r>
      <w:r>
        <w:rPr>
          <w:rFonts w:hint="eastAsia" w:ascii="仿宋_GB2312" w:hAnsi="微软雅黑" w:eastAsia="仿宋_GB2312" w:cs="宋体"/>
          <w:color w:val="333333"/>
          <w:kern w:val="0"/>
          <w:sz w:val="32"/>
          <w:szCs w:val="32"/>
        </w:rPr>
        <w:t>年，我局未发生政府信息公开泄密事件。</w:t>
      </w:r>
    </w:p>
    <w:p>
      <w:pPr>
        <w:widowControl/>
        <w:spacing w:line="555" w:lineRule="atLeast"/>
        <w:ind w:firstLine="645"/>
        <w:jc w:val="left"/>
        <w:rPr>
          <w:rFonts w:ascii="微软雅黑" w:hAnsi="微软雅黑" w:eastAsia="微软雅黑" w:cs="宋体"/>
          <w:color w:val="333333"/>
          <w:kern w:val="0"/>
          <w:szCs w:val="21"/>
        </w:rPr>
      </w:pPr>
      <w:r>
        <w:rPr>
          <w:rFonts w:hint="eastAsia" w:ascii="楷体_GB2312" w:hAnsi="微软雅黑" w:eastAsia="楷体_GB2312" w:cs="宋体"/>
          <w:color w:val="333333"/>
          <w:kern w:val="0"/>
          <w:sz w:val="32"/>
          <w:szCs w:val="32"/>
        </w:rPr>
        <w:t>（四）政府信息</w:t>
      </w:r>
      <w:r>
        <w:rPr>
          <w:rFonts w:ascii="楷体_GB2312" w:hAnsi="微软雅黑" w:eastAsia="楷体_GB2312" w:cs="宋体"/>
          <w:color w:val="333333"/>
          <w:kern w:val="0"/>
          <w:sz w:val="32"/>
          <w:szCs w:val="32"/>
        </w:rPr>
        <w:t>公开</w:t>
      </w:r>
      <w:r>
        <w:rPr>
          <w:rFonts w:hint="eastAsia" w:ascii="楷体_GB2312" w:hAnsi="微软雅黑" w:eastAsia="楷体_GB2312" w:cs="宋体"/>
          <w:color w:val="333333"/>
          <w:kern w:val="0"/>
          <w:sz w:val="32"/>
          <w:szCs w:val="32"/>
        </w:rPr>
        <w:t>平台建设情况</w:t>
      </w:r>
    </w:p>
    <w:p>
      <w:pPr>
        <w:widowControl/>
        <w:spacing w:line="555" w:lineRule="atLeast"/>
        <w:ind w:firstLine="645"/>
        <w:jc w:val="lef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通过</w:t>
      </w:r>
      <w:r>
        <w:rPr>
          <w:rFonts w:ascii="仿宋_GB2312" w:hAnsi="微软雅黑" w:eastAsia="仿宋_GB2312" w:cs="宋体"/>
          <w:color w:val="333333"/>
          <w:kern w:val="0"/>
          <w:sz w:val="32"/>
          <w:szCs w:val="32"/>
        </w:rPr>
        <w:t>各种</w:t>
      </w:r>
      <w:r>
        <w:rPr>
          <w:rFonts w:hint="eastAsia" w:ascii="仿宋_GB2312" w:hAnsi="微软雅黑" w:eastAsia="仿宋_GB2312" w:cs="宋体"/>
          <w:color w:val="333333"/>
          <w:kern w:val="0"/>
          <w:sz w:val="32"/>
          <w:szCs w:val="32"/>
        </w:rPr>
        <w:t>媒体</w:t>
      </w:r>
      <w:r>
        <w:rPr>
          <w:rFonts w:ascii="仿宋_GB2312" w:hAnsi="微软雅黑" w:eastAsia="仿宋_GB2312" w:cs="宋体"/>
          <w:color w:val="333333"/>
          <w:kern w:val="0"/>
          <w:sz w:val="32"/>
          <w:szCs w:val="32"/>
        </w:rPr>
        <w:t>平台，</w:t>
      </w:r>
      <w:r>
        <w:rPr>
          <w:rFonts w:hint="eastAsia" w:ascii="仿宋_GB2312" w:hAnsi="微软雅黑" w:eastAsia="仿宋_GB2312" w:cs="宋体"/>
          <w:color w:val="333333"/>
          <w:kern w:val="0"/>
          <w:sz w:val="32"/>
          <w:szCs w:val="32"/>
        </w:rPr>
        <w:t>全面</w:t>
      </w:r>
      <w:r>
        <w:rPr>
          <w:rFonts w:ascii="仿宋_GB2312" w:hAnsi="微软雅黑" w:eastAsia="仿宋_GB2312" w:cs="宋体"/>
          <w:color w:val="333333"/>
          <w:kern w:val="0"/>
          <w:sz w:val="32"/>
          <w:szCs w:val="32"/>
        </w:rPr>
        <w:t>加强政府信息公开工作</w:t>
      </w:r>
      <w:r>
        <w:rPr>
          <w:rFonts w:hint="eastAsia" w:ascii="仿宋_GB2312" w:hAnsi="微软雅黑" w:eastAsia="仿宋_GB2312" w:cs="宋体"/>
          <w:color w:val="333333"/>
          <w:kern w:val="0"/>
          <w:sz w:val="32"/>
          <w:szCs w:val="32"/>
        </w:rPr>
        <w:t>。紧紧</w:t>
      </w:r>
      <w:r>
        <w:rPr>
          <w:rFonts w:ascii="仿宋_GB2312" w:hAnsi="微软雅黑" w:eastAsia="仿宋_GB2312" w:cs="宋体"/>
          <w:color w:val="333333"/>
          <w:kern w:val="0"/>
          <w:sz w:val="32"/>
          <w:szCs w:val="32"/>
        </w:rPr>
        <w:t>依托市</w:t>
      </w:r>
      <w:r>
        <w:rPr>
          <w:rFonts w:hint="eastAsia" w:ascii="仿宋_GB2312" w:hAnsi="微软雅黑" w:eastAsia="仿宋_GB2312" w:cs="宋体"/>
          <w:color w:val="333333"/>
          <w:kern w:val="0"/>
          <w:sz w:val="32"/>
          <w:szCs w:val="32"/>
        </w:rPr>
        <w:t>政府</w:t>
      </w:r>
      <w:r>
        <w:rPr>
          <w:rFonts w:ascii="仿宋_GB2312" w:hAnsi="微软雅黑" w:eastAsia="仿宋_GB2312" w:cs="宋体"/>
          <w:color w:val="333333"/>
          <w:kern w:val="0"/>
          <w:sz w:val="32"/>
          <w:szCs w:val="32"/>
        </w:rPr>
        <w:t>及单位门户</w:t>
      </w:r>
      <w:r>
        <w:rPr>
          <w:rFonts w:hint="eastAsia" w:ascii="仿宋_GB2312" w:hAnsi="微软雅黑" w:eastAsia="仿宋_GB2312" w:cs="宋体"/>
          <w:color w:val="333333"/>
          <w:kern w:val="0"/>
          <w:sz w:val="32"/>
          <w:szCs w:val="32"/>
        </w:rPr>
        <w:t>网站</w:t>
      </w:r>
      <w:r>
        <w:rPr>
          <w:rFonts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rPr>
        <w:t>优化网站专题专栏设置，完善信息主动公开办理流程，不断</w:t>
      </w:r>
      <w:r>
        <w:rPr>
          <w:rFonts w:ascii="仿宋_GB2312" w:hAnsi="微软雅黑" w:eastAsia="仿宋_GB2312" w:cs="宋体"/>
          <w:color w:val="333333"/>
          <w:kern w:val="0"/>
          <w:sz w:val="32"/>
          <w:szCs w:val="32"/>
        </w:rPr>
        <w:t>尝试</w:t>
      </w:r>
      <w:r>
        <w:rPr>
          <w:rFonts w:hint="eastAsia" w:ascii="仿宋_GB2312" w:hAnsi="微软雅黑" w:eastAsia="仿宋_GB2312" w:cs="宋体"/>
          <w:color w:val="333333"/>
          <w:kern w:val="0"/>
          <w:sz w:val="32"/>
          <w:szCs w:val="32"/>
        </w:rPr>
        <w:t>拓宽</w:t>
      </w:r>
      <w:r>
        <w:rPr>
          <w:rFonts w:ascii="仿宋_GB2312" w:hAnsi="微软雅黑" w:eastAsia="仿宋_GB2312" w:cs="宋体"/>
          <w:color w:val="333333"/>
          <w:kern w:val="0"/>
          <w:sz w:val="32"/>
          <w:szCs w:val="32"/>
        </w:rPr>
        <w:t>信息</w:t>
      </w:r>
      <w:r>
        <w:rPr>
          <w:rFonts w:hint="eastAsia" w:ascii="仿宋_GB2312" w:hAnsi="微软雅黑" w:eastAsia="仿宋_GB2312" w:cs="宋体"/>
          <w:color w:val="333333"/>
          <w:kern w:val="0"/>
          <w:sz w:val="32"/>
          <w:szCs w:val="32"/>
        </w:rPr>
        <w:t>公开工作</w:t>
      </w:r>
      <w:r>
        <w:rPr>
          <w:rFonts w:ascii="仿宋_GB2312" w:hAnsi="微软雅黑" w:eastAsia="仿宋_GB2312" w:cs="宋体"/>
          <w:color w:val="333333"/>
          <w:kern w:val="0"/>
          <w:sz w:val="32"/>
          <w:szCs w:val="32"/>
        </w:rPr>
        <w:t>覆盖面</w:t>
      </w:r>
      <w:r>
        <w:rPr>
          <w:rFonts w:hint="eastAsia" w:ascii="仿宋_GB2312" w:hAnsi="微软雅黑" w:eastAsia="仿宋_GB2312" w:cs="宋体"/>
          <w:color w:val="333333"/>
          <w:kern w:val="0"/>
          <w:sz w:val="32"/>
          <w:szCs w:val="32"/>
        </w:rPr>
        <w:t>，打造内容全面、条理清晰、重点突出、便捷高效的政府信息公开窗口，</w:t>
      </w:r>
      <w:r>
        <w:rPr>
          <w:rFonts w:ascii="仿宋_GB2312" w:hAnsi="微软雅黑" w:eastAsia="仿宋_GB2312" w:cs="宋体"/>
          <w:color w:val="333333"/>
          <w:kern w:val="0"/>
          <w:sz w:val="32"/>
          <w:szCs w:val="32"/>
        </w:rPr>
        <w:t>实现让群众了解</w:t>
      </w:r>
      <w:r>
        <w:rPr>
          <w:rFonts w:hint="eastAsia" w:ascii="仿宋_GB2312" w:hAnsi="微软雅黑" w:eastAsia="仿宋_GB2312" w:cs="宋体"/>
          <w:color w:val="333333"/>
          <w:kern w:val="0"/>
          <w:sz w:val="32"/>
          <w:szCs w:val="32"/>
        </w:rPr>
        <w:t>水务</w:t>
      </w:r>
      <w:r>
        <w:rPr>
          <w:rFonts w:ascii="仿宋_GB2312" w:hAnsi="微软雅黑" w:eastAsia="仿宋_GB2312" w:cs="宋体"/>
          <w:color w:val="333333"/>
          <w:kern w:val="0"/>
          <w:sz w:val="32"/>
          <w:szCs w:val="32"/>
        </w:rPr>
        <w:t>，让水务服务群众的</w:t>
      </w:r>
      <w:r>
        <w:rPr>
          <w:rFonts w:hint="eastAsia" w:ascii="仿宋_GB2312" w:hAnsi="微软雅黑" w:eastAsia="仿宋_GB2312" w:cs="宋体"/>
          <w:color w:val="333333"/>
          <w:kern w:val="0"/>
          <w:sz w:val="32"/>
          <w:szCs w:val="32"/>
        </w:rPr>
        <w:t>工作目标。</w:t>
      </w:r>
    </w:p>
    <w:p>
      <w:pPr>
        <w:widowControl/>
        <w:spacing w:line="555" w:lineRule="atLeast"/>
        <w:ind w:firstLine="645"/>
        <w:jc w:val="left"/>
        <w:rPr>
          <w:rFonts w:ascii="微软雅黑" w:hAnsi="微软雅黑" w:eastAsia="微软雅黑" w:cs="宋体"/>
          <w:color w:val="333333"/>
          <w:kern w:val="0"/>
          <w:szCs w:val="21"/>
        </w:rPr>
      </w:pPr>
      <w:r>
        <w:rPr>
          <w:rFonts w:hint="eastAsia" w:ascii="楷体_GB2312" w:hAnsi="微软雅黑" w:eastAsia="楷体_GB2312" w:cs="宋体"/>
          <w:color w:val="333333"/>
          <w:kern w:val="0"/>
          <w:sz w:val="32"/>
          <w:szCs w:val="32"/>
        </w:rPr>
        <w:t>（五）监督保障情况</w:t>
      </w:r>
    </w:p>
    <w:p>
      <w:pPr>
        <w:widowControl/>
        <w:spacing w:line="555" w:lineRule="atLeast"/>
        <w:ind w:firstLine="645"/>
        <w:jc w:val="lef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我局切实</w:t>
      </w:r>
      <w:r>
        <w:rPr>
          <w:rFonts w:ascii="仿宋_GB2312" w:hAnsi="微软雅黑" w:eastAsia="仿宋_GB2312" w:cs="宋体"/>
          <w:color w:val="333333"/>
          <w:kern w:val="0"/>
          <w:sz w:val="32"/>
          <w:szCs w:val="32"/>
        </w:rPr>
        <w:t>落实</w:t>
      </w:r>
      <w:r>
        <w:rPr>
          <w:rFonts w:hint="eastAsia" w:ascii="仿宋_GB2312" w:hAnsi="微软雅黑" w:eastAsia="仿宋_GB2312" w:cs="宋体"/>
          <w:color w:val="333333"/>
          <w:kern w:val="0"/>
          <w:sz w:val="32"/>
          <w:szCs w:val="32"/>
        </w:rPr>
        <w:t>上级</w:t>
      </w:r>
      <w:r>
        <w:rPr>
          <w:rFonts w:ascii="仿宋_GB2312" w:hAnsi="微软雅黑" w:eastAsia="仿宋_GB2312" w:cs="宋体"/>
          <w:color w:val="333333"/>
          <w:kern w:val="0"/>
          <w:sz w:val="32"/>
          <w:szCs w:val="32"/>
        </w:rPr>
        <w:t>关于</w:t>
      </w:r>
      <w:r>
        <w:rPr>
          <w:rFonts w:hint="eastAsia" w:ascii="仿宋_GB2312" w:hAnsi="微软雅黑" w:eastAsia="仿宋_GB2312" w:cs="宋体"/>
          <w:color w:val="333333"/>
          <w:kern w:val="0"/>
          <w:sz w:val="32"/>
          <w:szCs w:val="32"/>
        </w:rPr>
        <w:t>政府信息</w:t>
      </w:r>
      <w:r>
        <w:rPr>
          <w:rFonts w:ascii="仿宋_GB2312" w:hAnsi="微软雅黑" w:eastAsia="仿宋_GB2312" w:cs="宋体"/>
          <w:color w:val="333333"/>
          <w:kern w:val="0"/>
          <w:sz w:val="32"/>
          <w:szCs w:val="32"/>
        </w:rPr>
        <w:t>公开工作</w:t>
      </w:r>
      <w:r>
        <w:rPr>
          <w:rFonts w:hint="eastAsia" w:ascii="仿宋_GB2312" w:hAnsi="微软雅黑" w:eastAsia="仿宋_GB2312" w:cs="宋体"/>
          <w:color w:val="333333"/>
          <w:kern w:val="0"/>
          <w:sz w:val="32"/>
          <w:szCs w:val="32"/>
        </w:rPr>
        <w:t>的</w:t>
      </w:r>
      <w:r>
        <w:rPr>
          <w:rFonts w:ascii="仿宋_GB2312" w:hAnsi="微软雅黑" w:eastAsia="仿宋_GB2312" w:cs="宋体"/>
          <w:color w:val="333333"/>
          <w:kern w:val="0"/>
          <w:sz w:val="32"/>
          <w:szCs w:val="32"/>
        </w:rPr>
        <w:t>相关要求</w:t>
      </w:r>
      <w:r>
        <w:rPr>
          <w:rFonts w:hint="eastAsia" w:ascii="仿宋_GB2312" w:hAnsi="微软雅黑" w:eastAsia="仿宋_GB2312" w:cs="宋体"/>
          <w:color w:val="333333"/>
          <w:kern w:val="0"/>
          <w:sz w:val="32"/>
          <w:szCs w:val="32"/>
        </w:rPr>
        <w:t>，由局领导及</w:t>
      </w:r>
      <w:r>
        <w:rPr>
          <w:rFonts w:ascii="仿宋_GB2312" w:hAnsi="微软雅黑" w:eastAsia="仿宋_GB2312" w:cs="宋体"/>
          <w:color w:val="333333"/>
          <w:kern w:val="0"/>
          <w:sz w:val="32"/>
          <w:szCs w:val="32"/>
        </w:rPr>
        <w:t>相关科室负责人组成政务</w:t>
      </w:r>
      <w:r>
        <w:rPr>
          <w:rFonts w:hint="eastAsia" w:ascii="仿宋_GB2312" w:hAnsi="微软雅黑" w:eastAsia="仿宋_GB2312" w:cs="宋体"/>
          <w:color w:val="333333"/>
          <w:kern w:val="0"/>
          <w:sz w:val="32"/>
          <w:szCs w:val="32"/>
        </w:rPr>
        <w:t>信息</w:t>
      </w:r>
      <w:r>
        <w:rPr>
          <w:rFonts w:ascii="仿宋_GB2312" w:hAnsi="微软雅黑" w:eastAsia="仿宋_GB2312" w:cs="宋体"/>
          <w:color w:val="333333"/>
          <w:kern w:val="0"/>
          <w:sz w:val="32"/>
          <w:szCs w:val="32"/>
        </w:rPr>
        <w:t>公开工作小组</w:t>
      </w:r>
      <w:r>
        <w:rPr>
          <w:rFonts w:hint="eastAsia" w:ascii="仿宋_GB2312" w:hAnsi="微软雅黑" w:eastAsia="仿宋_GB2312" w:cs="宋体"/>
          <w:color w:val="333333"/>
          <w:kern w:val="0"/>
          <w:sz w:val="32"/>
          <w:szCs w:val="32"/>
        </w:rPr>
        <w:t>，</w:t>
      </w:r>
      <w:r>
        <w:rPr>
          <w:rFonts w:ascii="仿宋_GB2312" w:hAnsi="微软雅黑" w:eastAsia="仿宋_GB2312" w:cs="宋体"/>
          <w:color w:val="333333"/>
          <w:kern w:val="0"/>
          <w:sz w:val="32"/>
          <w:szCs w:val="32"/>
        </w:rPr>
        <w:t>安排专人具体负责日常工作。</w:t>
      </w:r>
      <w:r>
        <w:rPr>
          <w:rFonts w:hint="eastAsia" w:ascii="仿宋_GB2312" w:hAnsi="微软雅黑" w:eastAsia="仿宋_GB2312" w:cs="宋体"/>
          <w:color w:val="333333"/>
          <w:kern w:val="0"/>
          <w:sz w:val="32"/>
          <w:szCs w:val="32"/>
        </w:rPr>
        <w:t>印发了《曲阜市水务局政府信息主动公开目录》和《曲阜市水务局政府信息公开指南》，完善了政府信息公开日常</w:t>
      </w:r>
      <w:r>
        <w:rPr>
          <w:rFonts w:ascii="仿宋_GB2312" w:hAnsi="微软雅黑" w:eastAsia="仿宋_GB2312" w:cs="宋体"/>
          <w:color w:val="333333"/>
          <w:kern w:val="0"/>
          <w:sz w:val="32"/>
          <w:szCs w:val="32"/>
        </w:rPr>
        <w:t>工作流程、涉密审批、</w:t>
      </w:r>
      <w:r>
        <w:rPr>
          <w:rFonts w:hint="eastAsia" w:ascii="仿宋_GB2312" w:hAnsi="微软雅黑" w:eastAsia="仿宋_GB2312" w:cs="宋体"/>
          <w:color w:val="333333"/>
          <w:kern w:val="0"/>
          <w:sz w:val="32"/>
          <w:szCs w:val="32"/>
        </w:rPr>
        <w:t>年终考核等制度，组织</w:t>
      </w:r>
      <w:r>
        <w:rPr>
          <w:rFonts w:ascii="仿宋_GB2312" w:hAnsi="微软雅黑" w:eastAsia="仿宋_GB2312" w:cs="宋体"/>
          <w:color w:val="333333"/>
          <w:kern w:val="0"/>
          <w:sz w:val="32"/>
          <w:szCs w:val="32"/>
        </w:rPr>
        <w:t>相关工作人员参加各级业务培训</w:t>
      </w:r>
      <w:r>
        <w:rPr>
          <w:rFonts w:hint="eastAsia" w:ascii="仿宋_GB2312" w:hAnsi="微软雅黑" w:eastAsia="仿宋_GB2312" w:cs="宋体"/>
          <w:color w:val="333333"/>
          <w:kern w:val="0"/>
          <w:sz w:val="32"/>
          <w:szCs w:val="32"/>
        </w:rPr>
        <w:t>。切实加强政府信息公开工作的监督保障工作。</w:t>
      </w:r>
    </w:p>
    <w:p>
      <w:pPr>
        <w:widowControl/>
        <w:spacing w:line="555" w:lineRule="atLeast"/>
        <w:ind w:firstLine="645"/>
        <w:jc w:val="left"/>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二、主动公开政府信息情况</w:t>
      </w:r>
    </w:p>
    <w:tbl>
      <w:tblPr>
        <w:tblStyle w:val="3"/>
        <w:tblW w:w="6780" w:type="dxa"/>
        <w:jc w:val="center"/>
        <w:tblLayout w:type="autofit"/>
        <w:tblCellMar>
          <w:top w:w="0" w:type="dxa"/>
          <w:left w:w="0" w:type="dxa"/>
          <w:bottom w:w="0" w:type="dxa"/>
          <w:right w:w="0" w:type="dxa"/>
        </w:tblCellMar>
      </w:tblPr>
      <w:tblGrid>
        <w:gridCol w:w="1692"/>
        <w:gridCol w:w="1692"/>
        <w:gridCol w:w="1692"/>
        <w:gridCol w:w="1704"/>
      </w:tblGrid>
      <w:tr>
        <w:tblPrEx>
          <w:tblCellMar>
            <w:top w:w="0" w:type="dxa"/>
            <w:left w:w="0" w:type="dxa"/>
            <w:bottom w:w="0" w:type="dxa"/>
            <w:right w:w="0" w:type="dxa"/>
          </w:tblCellMar>
        </w:tblPrEx>
        <w:trPr>
          <w:trHeight w:val="300" w:hRule="atLeast"/>
          <w:jc w:val="center"/>
        </w:trPr>
        <w:tc>
          <w:tcPr>
            <w:tcW w:w="6780" w:type="dxa"/>
            <w:gridSpan w:val="4"/>
            <w:tcBorders>
              <w:top w:val="single" w:color="auto" w:sz="6" w:space="0"/>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第二十条第（一）项</w:t>
            </w:r>
          </w:p>
        </w:tc>
      </w:tr>
      <w:tr>
        <w:tblPrEx>
          <w:tblCellMar>
            <w:top w:w="0" w:type="dxa"/>
            <w:left w:w="0" w:type="dxa"/>
            <w:bottom w:w="0" w:type="dxa"/>
            <w:right w:w="0" w:type="dxa"/>
          </w:tblCellMar>
        </w:tblPrEx>
        <w:trPr>
          <w:trHeight w:val="300" w:hRule="atLeast"/>
          <w:jc w:val="center"/>
        </w:trPr>
        <w:tc>
          <w:tcPr>
            <w:tcW w:w="169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信息内容</w:t>
            </w:r>
          </w:p>
        </w:tc>
        <w:tc>
          <w:tcPr>
            <w:tcW w:w="169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本年制发件数</w:t>
            </w:r>
          </w:p>
        </w:tc>
        <w:tc>
          <w:tcPr>
            <w:tcW w:w="169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本年废止件数</w:t>
            </w:r>
          </w:p>
        </w:tc>
        <w:tc>
          <w:tcPr>
            <w:tcW w:w="169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现行有效件数</w:t>
            </w:r>
          </w:p>
        </w:tc>
      </w:tr>
      <w:tr>
        <w:tblPrEx>
          <w:tblCellMar>
            <w:top w:w="0" w:type="dxa"/>
            <w:left w:w="0" w:type="dxa"/>
            <w:bottom w:w="0" w:type="dxa"/>
            <w:right w:w="0" w:type="dxa"/>
          </w:tblCellMar>
        </w:tblPrEx>
        <w:trPr>
          <w:trHeight w:val="300" w:hRule="atLeast"/>
          <w:jc w:val="center"/>
        </w:trPr>
        <w:tc>
          <w:tcPr>
            <w:tcW w:w="169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left"/>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规章</w:t>
            </w:r>
          </w:p>
        </w:tc>
        <w:tc>
          <w:tcPr>
            <w:tcW w:w="169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333333"/>
                <w:kern w:val="0"/>
                <w:szCs w:val="21"/>
              </w:rPr>
              <w:t>0</w:t>
            </w:r>
          </w:p>
        </w:tc>
        <w:tc>
          <w:tcPr>
            <w:tcW w:w="169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333333"/>
                <w:kern w:val="0"/>
                <w:szCs w:val="21"/>
              </w:rPr>
              <w:t>0</w:t>
            </w:r>
          </w:p>
        </w:tc>
        <w:tc>
          <w:tcPr>
            <w:tcW w:w="169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333333"/>
                <w:kern w:val="0"/>
                <w:szCs w:val="21"/>
              </w:rPr>
              <w:t>0</w:t>
            </w:r>
          </w:p>
        </w:tc>
      </w:tr>
      <w:tr>
        <w:tblPrEx>
          <w:tblCellMar>
            <w:top w:w="0" w:type="dxa"/>
            <w:left w:w="0" w:type="dxa"/>
            <w:bottom w:w="0" w:type="dxa"/>
            <w:right w:w="0" w:type="dxa"/>
          </w:tblCellMar>
        </w:tblPrEx>
        <w:trPr>
          <w:trHeight w:val="300" w:hRule="atLeast"/>
          <w:jc w:val="center"/>
        </w:trPr>
        <w:tc>
          <w:tcPr>
            <w:tcW w:w="169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left"/>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行政规范性文件</w:t>
            </w:r>
          </w:p>
        </w:tc>
        <w:tc>
          <w:tcPr>
            <w:tcW w:w="169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333333"/>
                <w:kern w:val="0"/>
                <w:szCs w:val="21"/>
              </w:rPr>
              <w:t>0</w:t>
            </w:r>
          </w:p>
        </w:tc>
        <w:tc>
          <w:tcPr>
            <w:tcW w:w="169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333333"/>
                <w:kern w:val="0"/>
                <w:szCs w:val="21"/>
              </w:rPr>
              <w:t>0</w:t>
            </w:r>
          </w:p>
        </w:tc>
        <w:tc>
          <w:tcPr>
            <w:tcW w:w="169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333333"/>
                <w:kern w:val="0"/>
                <w:szCs w:val="21"/>
              </w:rPr>
              <w:t>0</w:t>
            </w:r>
          </w:p>
        </w:tc>
      </w:tr>
      <w:tr>
        <w:tblPrEx>
          <w:tblCellMar>
            <w:top w:w="0" w:type="dxa"/>
            <w:left w:w="0" w:type="dxa"/>
            <w:bottom w:w="0" w:type="dxa"/>
            <w:right w:w="0" w:type="dxa"/>
          </w:tblCellMar>
        </w:tblPrEx>
        <w:trPr>
          <w:trHeight w:val="300" w:hRule="atLeast"/>
          <w:jc w:val="center"/>
        </w:trPr>
        <w:tc>
          <w:tcPr>
            <w:tcW w:w="678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第二十条第（五）项</w:t>
            </w:r>
          </w:p>
        </w:tc>
      </w:tr>
      <w:tr>
        <w:tblPrEx>
          <w:tblCellMar>
            <w:top w:w="0" w:type="dxa"/>
            <w:left w:w="0" w:type="dxa"/>
            <w:bottom w:w="0" w:type="dxa"/>
            <w:right w:w="0" w:type="dxa"/>
          </w:tblCellMar>
        </w:tblPrEx>
        <w:trPr>
          <w:trHeight w:val="300" w:hRule="atLeast"/>
          <w:jc w:val="center"/>
        </w:trPr>
        <w:tc>
          <w:tcPr>
            <w:tcW w:w="169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信息内容</w:t>
            </w:r>
          </w:p>
        </w:tc>
        <w:tc>
          <w:tcPr>
            <w:tcW w:w="5088" w:type="dxa"/>
            <w:gridSpan w:val="3"/>
            <w:tcBorders>
              <w:top w:val="nil"/>
              <w:left w:val="nil"/>
              <w:bottom w:val="single" w:color="auto" w:sz="6" w:space="0"/>
              <w:right w:val="single" w:color="000000" w:sz="6" w:space="0"/>
            </w:tcBorders>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本年处理决定数量</w:t>
            </w:r>
          </w:p>
        </w:tc>
      </w:tr>
      <w:tr>
        <w:tblPrEx>
          <w:tblCellMar>
            <w:top w:w="0" w:type="dxa"/>
            <w:left w:w="0" w:type="dxa"/>
            <w:bottom w:w="0" w:type="dxa"/>
            <w:right w:w="0" w:type="dxa"/>
          </w:tblCellMar>
        </w:tblPrEx>
        <w:trPr>
          <w:trHeight w:val="300" w:hRule="atLeast"/>
          <w:jc w:val="center"/>
        </w:trPr>
        <w:tc>
          <w:tcPr>
            <w:tcW w:w="169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left"/>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行政许可</w:t>
            </w:r>
          </w:p>
        </w:tc>
        <w:tc>
          <w:tcPr>
            <w:tcW w:w="5088" w:type="dxa"/>
            <w:gridSpan w:val="3"/>
            <w:tcBorders>
              <w:top w:val="nil"/>
              <w:left w:val="nil"/>
              <w:bottom w:val="single" w:color="auto" w:sz="6" w:space="0"/>
              <w:right w:val="single" w:color="000000" w:sz="6" w:space="0"/>
            </w:tcBorders>
            <w:tcMar>
              <w:top w:w="0" w:type="dxa"/>
              <w:left w:w="105" w:type="dxa"/>
              <w:bottom w:w="0" w:type="dxa"/>
              <w:right w:w="105" w:type="dxa"/>
            </w:tcMar>
            <w:vAlign w:val="center"/>
          </w:tcPr>
          <w:p>
            <w:pPr>
              <w:widowControl/>
              <w:spacing w:line="450" w:lineRule="atLeast"/>
              <w:jc w:val="left"/>
              <w:rPr>
                <w:rFonts w:ascii="微软雅黑" w:hAnsi="微软雅黑" w:eastAsia="微软雅黑" w:cs="宋体"/>
                <w:color w:val="333333"/>
                <w:kern w:val="0"/>
                <w:szCs w:val="21"/>
              </w:rPr>
            </w:pPr>
            <w:r>
              <w:rPr>
                <w:rFonts w:hint="eastAsia" w:ascii="仿宋_GB2312" w:hAnsi="微软雅黑" w:eastAsia="仿宋_GB2312" w:cs="宋体"/>
                <w:color w:val="333333"/>
                <w:kern w:val="0"/>
                <w:szCs w:val="21"/>
              </w:rPr>
              <w:t>0</w:t>
            </w:r>
          </w:p>
        </w:tc>
      </w:tr>
      <w:tr>
        <w:tblPrEx>
          <w:tblCellMar>
            <w:top w:w="0" w:type="dxa"/>
            <w:left w:w="0" w:type="dxa"/>
            <w:bottom w:w="0" w:type="dxa"/>
            <w:right w:w="0" w:type="dxa"/>
          </w:tblCellMar>
        </w:tblPrEx>
        <w:trPr>
          <w:trHeight w:val="300" w:hRule="atLeast"/>
          <w:jc w:val="center"/>
        </w:trPr>
        <w:tc>
          <w:tcPr>
            <w:tcW w:w="678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第二十条第（六）项</w:t>
            </w:r>
          </w:p>
        </w:tc>
      </w:tr>
      <w:tr>
        <w:tblPrEx>
          <w:tblCellMar>
            <w:top w:w="0" w:type="dxa"/>
            <w:left w:w="0" w:type="dxa"/>
            <w:bottom w:w="0" w:type="dxa"/>
            <w:right w:w="0" w:type="dxa"/>
          </w:tblCellMar>
        </w:tblPrEx>
        <w:trPr>
          <w:trHeight w:val="300" w:hRule="atLeast"/>
          <w:jc w:val="center"/>
        </w:trPr>
        <w:tc>
          <w:tcPr>
            <w:tcW w:w="169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信息内容</w:t>
            </w:r>
          </w:p>
        </w:tc>
        <w:tc>
          <w:tcPr>
            <w:tcW w:w="5088" w:type="dxa"/>
            <w:gridSpan w:val="3"/>
            <w:tcBorders>
              <w:top w:val="nil"/>
              <w:left w:val="nil"/>
              <w:bottom w:val="single" w:color="auto" w:sz="6" w:space="0"/>
              <w:right w:val="single" w:color="000000" w:sz="6" w:space="0"/>
            </w:tcBorders>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本年处理决定数量</w:t>
            </w:r>
          </w:p>
        </w:tc>
      </w:tr>
      <w:tr>
        <w:tblPrEx>
          <w:tblCellMar>
            <w:top w:w="0" w:type="dxa"/>
            <w:left w:w="0" w:type="dxa"/>
            <w:bottom w:w="0" w:type="dxa"/>
            <w:right w:w="0" w:type="dxa"/>
          </w:tblCellMar>
        </w:tblPrEx>
        <w:trPr>
          <w:trHeight w:val="300" w:hRule="atLeast"/>
          <w:jc w:val="center"/>
        </w:trPr>
        <w:tc>
          <w:tcPr>
            <w:tcW w:w="169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left"/>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行政处罚</w:t>
            </w:r>
          </w:p>
        </w:tc>
        <w:tc>
          <w:tcPr>
            <w:tcW w:w="5088" w:type="dxa"/>
            <w:gridSpan w:val="3"/>
            <w:tcBorders>
              <w:top w:val="nil"/>
              <w:left w:val="nil"/>
              <w:bottom w:val="single" w:color="auto" w:sz="6" w:space="0"/>
              <w:right w:val="single" w:color="000000" w:sz="6" w:space="0"/>
            </w:tcBorders>
            <w:tcMar>
              <w:top w:w="0" w:type="dxa"/>
              <w:left w:w="105" w:type="dxa"/>
              <w:bottom w:w="0" w:type="dxa"/>
              <w:right w:w="105" w:type="dxa"/>
            </w:tcMar>
            <w:vAlign w:val="center"/>
          </w:tcPr>
          <w:p>
            <w:pPr>
              <w:widowControl/>
              <w:spacing w:line="450" w:lineRule="atLeast"/>
              <w:ind w:firstLine="210"/>
              <w:jc w:val="left"/>
              <w:rPr>
                <w:rFonts w:ascii="微软雅黑" w:hAnsi="微软雅黑" w:eastAsia="微软雅黑" w:cs="宋体"/>
                <w:color w:val="333333"/>
                <w:kern w:val="0"/>
                <w:szCs w:val="21"/>
              </w:rPr>
            </w:pPr>
            <w:r>
              <w:rPr>
                <w:rFonts w:ascii="仿宋_GB2312" w:hAnsi="微软雅黑" w:eastAsia="仿宋_GB2312" w:cs="宋体"/>
                <w:color w:val="333333"/>
                <w:kern w:val="0"/>
                <w:szCs w:val="21"/>
              </w:rPr>
              <w:t>1</w:t>
            </w:r>
          </w:p>
        </w:tc>
      </w:tr>
      <w:tr>
        <w:tblPrEx>
          <w:tblCellMar>
            <w:top w:w="0" w:type="dxa"/>
            <w:left w:w="0" w:type="dxa"/>
            <w:bottom w:w="0" w:type="dxa"/>
            <w:right w:w="0" w:type="dxa"/>
          </w:tblCellMar>
        </w:tblPrEx>
        <w:trPr>
          <w:trHeight w:val="300" w:hRule="atLeast"/>
          <w:jc w:val="center"/>
        </w:trPr>
        <w:tc>
          <w:tcPr>
            <w:tcW w:w="169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left"/>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行政强制</w:t>
            </w:r>
          </w:p>
        </w:tc>
        <w:tc>
          <w:tcPr>
            <w:tcW w:w="5088" w:type="dxa"/>
            <w:gridSpan w:val="3"/>
            <w:tcBorders>
              <w:top w:val="nil"/>
              <w:left w:val="nil"/>
              <w:bottom w:val="single" w:color="auto" w:sz="6" w:space="0"/>
              <w:right w:val="single" w:color="000000" w:sz="6" w:space="0"/>
            </w:tcBorders>
            <w:tcMar>
              <w:top w:w="0" w:type="dxa"/>
              <w:left w:w="105" w:type="dxa"/>
              <w:bottom w:w="0" w:type="dxa"/>
              <w:right w:w="105" w:type="dxa"/>
            </w:tcMar>
            <w:vAlign w:val="center"/>
          </w:tcPr>
          <w:p>
            <w:pPr>
              <w:widowControl/>
              <w:spacing w:line="450" w:lineRule="atLeast"/>
              <w:jc w:val="left"/>
              <w:rPr>
                <w:rFonts w:ascii="微软雅黑" w:hAnsi="微软雅黑" w:eastAsia="微软雅黑" w:cs="宋体"/>
                <w:color w:val="333333"/>
                <w:kern w:val="0"/>
                <w:szCs w:val="21"/>
              </w:rPr>
            </w:pPr>
            <w:r>
              <w:rPr>
                <w:rFonts w:hint="eastAsia" w:ascii="微软雅黑" w:hAnsi="微软雅黑" w:eastAsia="微软雅黑" w:cs="宋体"/>
                <w:color w:val="333333"/>
                <w:kern w:val="0"/>
                <w:szCs w:val="21"/>
              </w:rPr>
              <w:t>　</w:t>
            </w:r>
            <w:r>
              <w:rPr>
                <w:rFonts w:hint="eastAsia" w:ascii="仿宋_GB2312" w:hAnsi="微软雅黑" w:eastAsia="仿宋_GB2312" w:cs="宋体"/>
                <w:color w:val="333333"/>
                <w:kern w:val="0"/>
                <w:szCs w:val="21"/>
              </w:rPr>
              <w:t>0</w:t>
            </w:r>
          </w:p>
        </w:tc>
      </w:tr>
      <w:tr>
        <w:tblPrEx>
          <w:tblCellMar>
            <w:top w:w="0" w:type="dxa"/>
            <w:left w:w="0" w:type="dxa"/>
            <w:bottom w:w="0" w:type="dxa"/>
            <w:right w:w="0" w:type="dxa"/>
          </w:tblCellMar>
        </w:tblPrEx>
        <w:trPr>
          <w:trHeight w:val="300" w:hRule="atLeast"/>
          <w:jc w:val="center"/>
        </w:trPr>
        <w:tc>
          <w:tcPr>
            <w:tcW w:w="6780" w:type="dxa"/>
            <w:gridSpan w:val="4"/>
            <w:tcBorders>
              <w:top w:val="nil"/>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第二十条第（八）项</w:t>
            </w:r>
          </w:p>
        </w:tc>
      </w:tr>
      <w:tr>
        <w:tblPrEx>
          <w:tblCellMar>
            <w:top w:w="0" w:type="dxa"/>
            <w:left w:w="0" w:type="dxa"/>
            <w:bottom w:w="0" w:type="dxa"/>
            <w:right w:w="0" w:type="dxa"/>
          </w:tblCellMar>
        </w:tblPrEx>
        <w:trPr>
          <w:trHeight w:val="300" w:hRule="atLeast"/>
          <w:jc w:val="center"/>
        </w:trPr>
        <w:tc>
          <w:tcPr>
            <w:tcW w:w="169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信息内容</w:t>
            </w:r>
          </w:p>
        </w:tc>
        <w:tc>
          <w:tcPr>
            <w:tcW w:w="5088" w:type="dxa"/>
            <w:gridSpan w:val="3"/>
            <w:tcBorders>
              <w:top w:val="nil"/>
              <w:left w:val="nil"/>
              <w:bottom w:val="single" w:color="auto" w:sz="6" w:space="0"/>
              <w:right w:val="single" w:color="000000" w:sz="6" w:space="0"/>
            </w:tcBorders>
            <w:tcMar>
              <w:top w:w="0" w:type="dxa"/>
              <w:left w:w="105" w:type="dxa"/>
              <w:bottom w:w="0" w:type="dxa"/>
              <w:right w:w="105" w:type="dxa"/>
            </w:tcMar>
            <w:vAlign w:val="center"/>
          </w:tcPr>
          <w:p>
            <w:pPr>
              <w:widowControl/>
              <w:spacing w:line="450" w:lineRule="atLeast"/>
              <w:jc w:val="center"/>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本年收费金额（单位：万元）</w:t>
            </w:r>
          </w:p>
        </w:tc>
      </w:tr>
      <w:tr>
        <w:tblPrEx>
          <w:tblCellMar>
            <w:top w:w="0" w:type="dxa"/>
            <w:left w:w="0" w:type="dxa"/>
            <w:bottom w:w="0" w:type="dxa"/>
            <w:right w:w="0" w:type="dxa"/>
          </w:tblCellMar>
        </w:tblPrEx>
        <w:trPr>
          <w:trHeight w:val="300" w:hRule="atLeast"/>
          <w:jc w:val="center"/>
        </w:trPr>
        <w:tc>
          <w:tcPr>
            <w:tcW w:w="169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450" w:lineRule="atLeast"/>
              <w:jc w:val="left"/>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行政事业性收费</w:t>
            </w:r>
          </w:p>
        </w:tc>
        <w:tc>
          <w:tcPr>
            <w:tcW w:w="5088" w:type="dxa"/>
            <w:gridSpan w:val="3"/>
            <w:tcBorders>
              <w:top w:val="nil"/>
              <w:left w:val="nil"/>
              <w:bottom w:val="single" w:color="auto" w:sz="6" w:space="0"/>
              <w:right w:val="single" w:color="000000" w:sz="6" w:space="0"/>
            </w:tcBorders>
            <w:tcMar>
              <w:top w:w="0" w:type="dxa"/>
              <w:left w:w="105" w:type="dxa"/>
              <w:bottom w:w="0" w:type="dxa"/>
              <w:right w:w="105" w:type="dxa"/>
            </w:tcMar>
            <w:vAlign w:val="center"/>
          </w:tcPr>
          <w:p>
            <w:pPr>
              <w:widowControl/>
              <w:spacing w:line="450" w:lineRule="atLeast"/>
              <w:jc w:val="left"/>
              <w:rPr>
                <w:rFonts w:ascii="微软雅黑" w:hAnsi="微软雅黑" w:eastAsia="微软雅黑" w:cs="宋体"/>
                <w:color w:val="333333"/>
                <w:kern w:val="0"/>
                <w:szCs w:val="21"/>
              </w:rPr>
            </w:pPr>
            <w:r>
              <w:rPr>
                <w:rFonts w:hint="eastAsia" w:ascii="仿宋_GB2312" w:hAnsi="微软雅黑" w:eastAsia="仿宋_GB2312" w:cs="宋体"/>
                <w:color w:val="000000"/>
                <w:kern w:val="0"/>
                <w:szCs w:val="21"/>
              </w:rPr>
              <w:t>0</w:t>
            </w:r>
          </w:p>
        </w:tc>
      </w:tr>
    </w:tbl>
    <w:p>
      <w:pPr>
        <w:widowControl/>
        <w:spacing w:line="600" w:lineRule="atLeast"/>
        <w:ind w:firstLine="645"/>
        <w:jc w:val="left"/>
        <w:rPr>
          <w:rFonts w:ascii="微软雅黑" w:hAnsi="微软雅黑" w:eastAsia="微软雅黑" w:cs="宋体"/>
          <w:color w:val="333333"/>
          <w:kern w:val="0"/>
          <w:szCs w:val="21"/>
        </w:rPr>
      </w:pPr>
      <w:r>
        <w:rPr>
          <w:rFonts w:hint="eastAsia" w:ascii="黑体" w:hAnsi="黑体" w:eastAsia="黑体" w:cs="宋体"/>
          <w:b/>
          <w:bCs/>
          <w:color w:val="333333"/>
          <w:kern w:val="0"/>
          <w:sz w:val="32"/>
          <w:szCs w:val="32"/>
        </w:rPr>
        <w:t>三、收到和处理政府信息公开申请情况</w:t>
      </w:r>
    </w:p>
    <w:tbl>
      <w:tblPr>
        <w:tblStyle w:val="3"/>
        <w:tblW w:w="6636" w:type="dxa"/>
        <w:jc w:val="center"/>
        <w:tblLayout w:type="autofit"/>
        <w:tblCellMar>
          <w:top w:w="0" w:type="dxa"/>
          <w:left w:w="0" w:type="dxa"/>
          <w:bottom w:w="0" w:type="dxa"/>
          <w:right w:w="0" w:type="dxa"/>
        </w:tblCellMar>
      </w:tblPr>
      <w:tblGrid>
        <w:gridCol w:w="540"/>
        <w:gridCol w:w="789"/>
        <w:gridCol w:w="2137"/>
        <w:gridCol w:w="469"/>
        <w:gridCol w:w="469"/>
        <w:gridCol w:w="458"/>
        <w:gridCol w:w="469"/>
        <w:gridCol w:w="446"/>
        <w:gridCol w:w="435"/>
        <w:gridCol w:w="424"/>
      </w:tblGrid>
      <w:tr>
        <w:tblPrEx>
          <w:tblCellMar>
            <w:top w:w="0" w:type="dxa"/>
            <w:left w:w="0" w:type="dxa"/>
            <w:bottom w:w="0" w:type="dxa"/>
            <w:right w:w="0" w:type="dxa"/>
          </w:tblCellMar>
        </w:tblPrEx>
        <w:trPr>
          <w:jc w:val="center"/>
        </w:trPr>
        <w:tc>
          <w:tcPr>
            <w:tcW w:w="3396" w:type="dxa"/>
            <w:gridSpan w:val="3"/>
            <w:vMerge w:val="restar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（本列数据的勾稽关系为：第一项加第二项之和，等于第三项加第四项之和）</w:t>
            </w:r>
          </w:p>
        </w:tc>
        <w:tc>
          <w:tcPr>
            <w:tcW w:w="3240" w:type="dxa"/>
            <w:gridSpan w:val="7"/>
            <w:tcBorders>
              <w:top w:val="single" w:color="auto" w:sz="6" w:space="0"/>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申请人情况</w:t>
            </w:r>
          </w:p>
        </w:tc>
      </w:tr>
      <w:tr>
        <w:tblPrEx>
          <w:tblCellMar>
            <w:top w:w="0" w:type="dxa"/>
            <w:left w:w="0" w:type="dxa"/>
            <w:bottom w:w="0" w:type="dxa"/>
            <w:right w:w="0" w:type="dxa"/>
          </w:tblCellMar>
        </w:tblPrEx>
        <w:trPr>
          <w:jc w:val="center"/>
        </w:trPr>
        <w:tc>
          <w:tcPr>
            <w:tcW w:w="0" w:type="auto"/>
            <w:gridSpan w:val="3"/>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480" w:type="dxa"/>
            <w:vMerge w:val="restart"/>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自然人</w:t>
            </w:r>
          </w:p>
        </w:tc>
        <w:tc>
          <w:tcPr>
            <w:tcW w:w="2328" w:type="dxa"/>
            <w:gridSpan w:val="5"/>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法人或其他组织</w:t>
            </w:r>
          </w:p>
        </w:tc>
        <w:tc>
          <w:tcPr>
            <w:tcW w:w="420" w:type="dxa"/>
            <w:vMerge w:val="restart"/>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总计</w:t>
            </w:r>
          </w:p>
        </w:tc>
      </w:tr>
      <w:tr>
        <w:tblPrEx>
          <w:tblCellMar>
            <w:top w:w="0" w:type="dxa"/>
            <w:left w:w="0" w:type="dxa"/>
            <w:bottom w:w="0" w:type="dxa"/>
            <w:right w:w="0" w:type="dxa"/>
          </w:tblCellMar>
        </w:tblPrEx>
        <w:trPr>
          <w:jc w:val="center"/>
        </w:trPr>
        <w:tc>
          <w:tcPr>
            <w:tcW w:w="0" w:type="auto"/>
            <w:gridSpan w:val="3"/>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商业</w:t>
            </w:r>
          </w:p>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企业</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科研</w:t>
            </w:r>
          </w:p>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机构</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社会公益组织</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法律服务机构</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其他</w:t>
            </w: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r>
      <w:tr>
        <w:tblPrEx>
          <w:tblCellMar>
            <w:top w:w="0" w:type="dxa"/>
            <w:left w:w="0" w:type="dxa"/>
            <w:bottom w:w="0" w:type="dxa"/>
            <w:right w:w="0" w:type="dxa"/>
          </w:tblCellMar>
        </w:tblPrEx>
        <w:trPr>
          <w:trHeight w:val="336" w:hRule="atLeast"/>
          <w:jc w:val="center"/>
        </w:trPr>
        <w:tc>
          <w:tcPr>
            <w:tcW w:w="3396"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color w:val="333333"/>
                <w:kern w:val="0"/>
                <w:szCs w:val="21"/>
              </w:rPr>
            </w:pPr>
            <w:r>
              <w:rPr>
                <w:rFonts w:hint="eastAsia" w:ascii="黑体" w:hAnsi="黑体" w:eastAsia="黑体" w:cs="宋体"/>
                <w:color w:val="333333"/>
                <w:kern w:val="0"/>
                <w:szCs w:val="21"/>
              </w:rPr>
              <w:t>一、本年新收政府信息公开申请数量</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trHeight w:val="312" w:hRule="atLeast"/>
          <w:jc w:val="center"/>
        </w:trPr>
        <w:tc>
          <w:tcPr>
            <w:tcW w:w="3396"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color w:val="333333"/>
                <w:kern w:val="0"/>
                <w:szCs w:val="21"/>
              </w:rPr>
            </w:pPr>
            <w:r>
              <w:rPr>
                <w:rFonts w:hint="eastAsia" w:ascii="黑体" w:hAnsi="黑体" w:eastAsia="黑体" w:cs="宋体"/>
                <w:color w:val="333333"/>
                <w:kern w:val="0"/>
                <w:szCs w:val="21"/>
              </w:rPr>
              <w:t>二、上年结转政府信息公开申请数量</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trHeight w:val="300" w:hRule="atLeast"/>
          <w:jc w:val="center"/>
        </w:trPr>
        <w:tc>
          <w:tcPr>
            <w:tcW w:w="336" w:type="dxa"/>
            <w:vMerge w:val="restart"/>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color w:val="333333"/>
                <w:kern w:val="0"/>
                <w:szCs w:val="21"/>
              </w:rPr>
            </w:pPr>
            <w:r>
              <w:rPr>
                <w:rFonts w:hint="eastAsia" w:ascii="黑体" w:hAnsi="黑体" w:eastAsia="黑体" w:cs="宋体"/>
                <w:color w:val="333333"/>
                <w:kern w:val="0"/>
                <w:szCs w:val="21"/>
              </w:rPr>
              <w:t>三、本年度办理结果</w:t>
            </w:r>
          </w:p>
        </w:tc>
        <w:tc>
          <w:tcPr>
            <w:tcW w:w="3060" w:type="dxa"/>
            <w:gridSpan w:val="2"/>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color w:val="333333"/>
                <w:kern w:val="0"/>
                <w:szCs w:val="21"/>
              </w:rPr>
            </w:pPr>
            <w:r>
              <w:rPr>
                <w:rFonts w:hint="eastAsia" w:ascii="楷体_GB2312" w:hAnsi="宋体" w:eastAsia="楷体_GB2312" w:cs="宋体"/>
                <w:color w:val="333333"/>
                <w:kern w:val="0"/>
                <w:szCs w:val="21"/>
              </w:rPr>
              <w:t>（一）予以公开</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trHeight w:val="564"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3060" w:type="dxa"/>
            <w:gridSpan w:val="2"/>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color w:val="333333"/>
                <w:kern w:val="0"/>
                <w:szCs w:val="21"/>
              </w:rPr>
            </w:pPr>
            <w:r>
              <w:rPr>
                <w:rFonts w:hint="eastAsia" w:ascii="楷体_GB2312" w:hAnsi="宋体" w:eastAsia="楷体_GB2312" w:cs="宋体"/>
                <w:color w:val="333333"/>
                <w:kern w:val="0"/>
                <w:szCs w:val="21"/>
              </w:rPr>
              <w:t>（二）部分公开（区分处理的，只计这一情形，不计其他情形）</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trHeight w:val="276"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792" w:type="dxa"/>
            <w:vMerge w:val="restart"/>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color w:val="333333"/>
                <w:kern w:val="0"/>
                <w:szCs w:val="21"/>
              </w:rPr>
            </w:pPr>
            <w:r>
              <w:rPr>
                <w:rFonts w:hint="eastAsia" w:ascii="楷体_GB2312" w:hAnsi="宋体" w:eastAsia="楷体_GB2312" w:cs="宋体"/>
                <w:color w:val="333333"/>
                <w:kern w:val="0"/>
                <w:szCs w:val="21"/>
              </w:rPr>
              <w:t>（三）不予公开</w:t>
            </w:r>
          </w:p>
        </w:tc>
        <w:tc>
          <w:tcPr>
            <w:tcW w:w="1500"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1.属于国家秘密</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trHeight w:val="276"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1500"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2.其他法律行政法规禁止公开</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trHeight w:val="276"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1500"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3.危及“三安全一稳定”</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trHeight w:val="276"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1500"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4.保护第三方合法权益</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trHeight w:val="276"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1500"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5.属于三类内部事务信息</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trHeight w:val="276"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1500"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6.属于四类过程性信息</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trHeight w:val="276"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1500"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7.属于行政执法案卷</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trHeight w:val="276"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1500"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8.属于行政查询事项</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trHeight w:val="264"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792" w:type="dxa"/>
            <w:vMerge w:val="restart"/>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color w:val="333333"/>
                <w:kern w:val="0"/>
                <w:szCs w:val="21"/>
              </w:rPr>
            </w:pPr>
            <w:r>
              <w:rPr>
                <w:rFonts w:hint="eastAsia" w:ascii="楷体_GB2312" w:hAnsi="宋体" w:eastAsia="楷体_GB2312" w:cs="宋体"/>
                <w:color w:val="333333"/>
                <w:kern w:val="0"/>
                <w:szCs w:val="21"/>
              </w:rPr>
              <w:t>（四）无法提供</w:t>
            </w:r>
          </w:p>
        </w:tc>
        <w:tc>
          <w:tcPr>
            <w:tcW w:w="1500"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1.本机关不掌握相关政府信息</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trHeight w:val="276"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1500"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2.没有现成信息需要另行制作</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trHeight w:val="276"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1500"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3.补正后申请内容仍不明确</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jc w:val="center"/>
        </w:trPr>
        <w:tc>
          <w:tcPr>
            <w:tcW w:w="336" w:type="dxa"/>
            <w:vMerge w:val="restart"/>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jc w:val="left"/>
              <w:rPr>
                <w:rFonts w:ascii="宋体" w:hAnsi="宋体" w:eastAsia="宋体" w:cs="宋体"/>
                <w:kern w:val="0"/>
                <w:sz w:val="24"/>
                <w:szCs w:val="24"/>
              </w:rPr>
            </w:pPr>
          </w:p>
        </w:tc>
        <w:tc>
          <w:tcPr>
            <w:tcW w:w="792" w:type="dxa"/>
            <w:vMerge w:val="restart"/>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color w:val="333333"/>
                <w:kern w:val="0"/>
                <w:szCs w:val="21"/>
              </w:rPr>
            </w:pPr>
            <w:r>
              <w:rPr>
                <w:rFonts w:hint="eastAsia" w:ascii="楷体_GB2312" w:hAnsi="宋体" w:eastAsia="楷体_GB2312" w:cs="宋体"/>
                <w:color w:val="333333"/>
                <w:kern w:val="0"/>
                <w:szCs w:val="21"/>
              </w:rPr>
              <w:t>（五）不予处理</w:t>
            </w:r>
          </w:p>
        </w:tc>
        <w:tc>
          <w:tcPr>
            <w:tcW w:w="1500"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1.信访举报投诉类申请</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1500"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2.重复申请</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1500"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3.要求提供公开出版物</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1500" w:type="dxa"/>
            <w:tcBorders>
              <w:top w:val="nil"/>
              <w:left w:val="nil"/>
              <w:bottom w:val="single" w:color="auto" w:sz="6" w:space="0"/>
              <w:right w:val="single" w:color="auto" w:sz="6" w:space="0"/>
            </w:tcBorders>
            <w:tcMar>
              <w:top w:w="0" w:type="dxa"/>
              <w:left w:w="60" w:type="dxa"/>
              <w:bottom w:w="0" w:type="dxa"/>
              <w:right w:w="60" w:type="dxa"/>
            </w:tcMa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4.无正当理由大量反复申请</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trHeight w:val="624" w:hRule="atLeast"/>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150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5.要求行政机关确认或重新出具已获取信息</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 </w:t>
            </w:r>
          </w:p>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 </w:t>
            </w:r>
          </w:p>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792" w:type="dxa"/>
            <w:vMerge w:val="restart"/>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color w:val="333333"/>
                <w:kern w:val="0"/>
                <w:szCs w:val="21"/>
              </w:rPr>
            </w:pPr>
            <w:r>
              <w:rPr>
                <w:rFonts w:hint="eastAsia" w:ascii="楷体_GB2312" w:hAnsi="宋体" w:eastAsia="楷体_GB2312" w:cs="宋体"/>
                <w:color w:val="333333"/>
                <w:kern w:val="0"/>
                <w:szCs w:val="21"/>
              </w:rPr>
              <w:t>（六）其他处理</w:t>
            </w:r>
          </w:p>
        </w:tc>
        <w:tc>
          <w:tcPr>
            <w:tcW w:w="150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1.申请人无正当理由逾期不补正、行政机关不再处理其政府信息公开申请</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150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2.申请人逾期未按收费通知要求缴纳费用、行政机关不再处理其政府信息公开申请</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150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color w:val="333333"/>
                <w:kern w:val="0"/>
                <w:szCs w:val="21"/>
              </w:rPr>
            </w:pPr>
            <w:r>
              <w:rPr>
                <w:rFonts w:hint="eastAsia" w:ascii="仿宋_GB2312" w:hAnsi="宋体" w:eastAsia="仿宋_GB2312" w:cs="宋体"/>
                <w:color w:val="333333"/>
                <w:kern w:val="0"/>
                <w:szCs w:val="21"/>
              </w:rPr>
              <w:t>3.其他</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3060" w:type="dxa"/>
            <w:gridSpan w:val="2"/>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color w:val="333333"/>
                <w:kern w:val="0"/>
                <w:szCs w:val="21"/>
              </w:rPr>
            </w:pPr>
            <w:r>
              <w:rPr>
                <w:rFonts w:hint="eastAsia" w:ascii="楷体_GB2312" w:hAnsi="宋体" w:eastAsia="楷体_GB2312" w:cs="宋体"/>
                <w:color w:val="333333"/>
                <w:kern w:val="0"/>
                <w:szCs w:val="21"/>
              </w:rPr>
              <w:t>（七）总计</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r>
        <w:tblPrEx>
          <w:tblCellMar>
            <w:top w:w="0" w:type="dxa"/>
            <w:left w:w="0" w:type="dxa"/>
            <w:bottom w:w="0" w:type="dxa"/>
            <w:right w:w="0" w:type="dxa"/>
          </w:tblCellMar>
        </w:tblPrEx>
        <w:trPr>
          <w:jc w:val="center"/>
        </w:trPr>
        <w:tc>
          <w:tcPr>
            <w:tcW w:w="3396" w:type="dxa"/>
            <w:gridSpan w:val="3"/>
            <w:tcBorders>
              <w:top w:val="nil"/>
              <w:left w:val="single" w:color="auto" w:sz="6" w:space="0"/>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left"/>
              <w:rPr>
                <w:rFonts w:ascii="宋体" w:hAnsi="宋体" w:eastAsia="宋体" w:cs="宋体"/>
                <w:color w:val="333333"/>
                <w:kern w:val="0"/>
                <w:szCs w:val="21"/>
              </w:rPr>
            </w:pPr>
            <w:r>
              <w:rPr>
                <w:rFonts w:hint="eastAsia" w:ascii="黑体" w:hAnsi="黑体" w:eastAsia="黑体" w:cs="宋体"/>
                <w:color w:val="333333"/>
                <w:kern w:val="0"/>
                <w:szCs w:val="21"/>
              </w:rPr>
              <w:t>四、结转下年度继续办理</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68"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8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56"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44"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c>
          <w:tcPr>
            <w:tcW w:w="420" w:type="dxa"/>
            <w:tcBorders>
              <w:top w:val="nil"/>
              <w:left w:val="nil"/>
              <w:bottom w:val="single" w:color="auto" w:sz="6" w:space="0"/>
              <w:right w:val="single" w:color="auto" w:sz="6" w:space="0"/>
            </w:tcBorders>
            <w:tcMar>
              <w:top w:w="0" w:type="dxa"/>
              <w:left w:w="60" w:type="dxa"/>
              <w:bottom w:w="0" w:type="dxa"/>
              <w:right w:w="60" w:type="dxa"/>
            </w:tcMar>
            <w:vAlign w:val="center"/>
          </w:tcPr>
          <w:p>
            <w:pPr>
              <w:widowControl/>
              <w:spacing w:line="300" w:lineRule="atLeast"/>
              <w:jc w:val="center"/>
              <w:rPr>
                <w:rFonts w:ascii="宋体" w:hAnsi="宋体" w:eastAsia="宋体" w:cs="宋体"/>
                <w:color w:val="333333"/>
                <w:kern w:val="0"/>
                <w:szCs w:val="21"/>
              </w:rPr>
            </w:pPr>
            <w:r>
              <w:rPr>
                <w:rFonts w:hint="eastAsia" w:ascii="仿宋_GB2312" w:hAnsi="宋体" w:eastAsia="仿宋_GB2312" w:cs="宋体"/>
                <w:color w:val="333333"/>
                <w:kern w:val="0"/>
                <w:szCs w:val="21"/>
              </w:rPr>
              <w:t>0</w:t>
            </w:r>
          </w:p>
        </w:tc>
      </w:tr>
    </w:tbl>
    <w:p>
      <w:pPr>
        <w:widowControl/>
        <w:spacing w:line="555" w:lineRule="atLeast"/>
        <w:ind w:firstLine="645"/>
        <w:jc w:val="left"/>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四、政府信息公开行政复议、行政诉讼情况</w:t>
      </w:r>
    </w:p>
    <w:tbl>
      <w:tblPr>
        <w:tblStyle w:val="3"/>
        <w:tblW w:w="6852" w:type="dxa"/>
        <w:jc w:val="center"/>
        <w:tblLayout w:type="autofit"/>
        <w:tblCellMar>
          <w:top w:w="0" w:type="dxa"/>
          <w:left w:w="0" w:type="dxa"/>
          <w:bottom w:w="0" w:type="dxa"/>
          <w:right w:w="0" w:type="dxa"/>
        </w:tblCellMar>
      </w:tblPr>
      <w:tblGrid>
        <w:gridCol w:w="385"/>
        <w:gridCol w:w="385"/>
        <w:gridCol w:w="650"/>
        <w:gridCol w:w="650"/>
        <w:gridCol w:w="386"/>
        <w:gridCol w:w="650"/>
        <w:gridCol w:w="650"/>
        <w:gridCol w:w="650"/>
        <w:gridCol w:w="650"/>
        <w:gridCol w:w="386"/>
        <w:gridCol w:w="650"/>
        <w:gridCol w:w="650"/>
        <w:gridCol w:w="650"/>
        <w:gridCol w:w="650"/>
        <w:gridCol w:w="474"/>
      </w:tblGrid>
      <w:tr>
        <w:tblPrEx>
          <w:tblCellMar>
            <w:top w:w="0" w:type="dxa"/>
            <w:left w:w="0" w:type="dxa"/>
            <w:bottom w:w="0" w:type="dxa"/>
            <w:right w:w="0" w:type="dxa"/>
          </w:tblCellMar>
        </w:tblPrEx>
        <w:trPr>
          <w:jc w:val="center"/>
        </w:trPr>
        <w:tc>
          <w:tcPr>
            <w:tcW w:w="2316" w:type="dxa"/>
            <w:gridSpan w:val="5"/>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行政复议</w:t>
            </w:r>
          </w:p>
        </w:tc>
        <w:tc>
          <w:tcPr>
            <w:tcW w:w="3000" w:type="dxa"/>
            <w:gridSpan w:val="10"/>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行政诉讼</w:t>
            </w:r>
          </w:p>
        </w:tc>
      </w:tr>
      <w:tr>
        <w:tblPrEx>
          <w:tblCellMar>
            <w:top w:w="0" w:type="dxa"/>
            <w:left w:w="0" w:type="dxa"/>
            <w:bottom w:w="0" w:type="dxa"/>
            <w:right w:w="0" w:type="dxa"/>
          </w:tblCellMar>
        </w:tblPrEx>
        <w:trPr>
          <w:jc w:val="center"/>
        </w:trPr>
        <w:tc>
          <w:tcPr>
            <w:tcW w:w="408" w:type="dxa"/>
            <w:vMerge w:val="restar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结果维持</w:t>
            </w:r>
          </w:p>
        </w:tc>
        <w:tc>
          <w:tcPr>
            <w:tcW w:w="492"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结果</w:t>
            </w:r>
          </w:p>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纠正</w:t>
            </w:r>
          </w:p>
        </w:tc>
        <w:tc>
          <w:tcPr>
            <w:tcW w:w="480"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其他</w:t>
            </w:r>
            <w:r>
              <w:rPr>
                <w:rFonts w:hint="eastAsia" w:ascii="仿宋_GB2312" w:hAnsi="宋体" w:eastAsia="仿宋_GB2312" w:cs="宋体"/>
                <w:b/>
                <w:bCs/>
                <w:color w:val="333333"/>
                <w:kern w:val="0"/>
                <w:szCs w:val="21"/>
              </w:rPr>
              <w:br w:type="textWrapping"/>
            </w:r>
            <w:r>
              <w:rPr>
                <w:rFonts w:hint="eastAsia" w:ascii="仿宋_GB2312" w:hAnsi="宋体" w:eastAsia="仿宋_GB2312" w:cs="宋体"/>
                <w:b/>
                <w:bCs/>
                <w:color w:val="333333"/>
                <w:kern w:val="0"/>
                <w:szCs w:val="21"/>
              </w:rPr>
              <w:t>  结果</w:t>
            </w:r>
          </w:p>
        </w:tc>
        <w:tc>
          <w:tcPr>
            <w:tcW w:w="468"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尚未</w:t>
            </w:r>
            <w:r>
              <w:rPr>
                <w:rFonts w:hint="eastAsia" w:ascii="仿宋_GB2312" w:hAnsi="宋体" w:eastAsia="仿宋_GB2312" w:cs="宋体"/>
                <w:b/>
                <w:bCs/>
                <w:color w:val="333333"/>
                <w:kern w:val="0"/>
                <w:szCs w:val="21"/>
              </w:rPr>
              <w:br w:type="textWrapping"/>
            </w:r>
            <w:r>
              <w:rPr>
                <w:rFonts w:hint="eastAsia" w:ascii="仿宋_GB2312" w:hAnsi="宋体" w:eastAsia="仿宋_GB2312" w:cs="宋体"/>
                <w:b/>
                <w:bCs/>
                <w:color w:val="333333"/>
                <w:kern w:val="0"/>
                <w:szCs w:val="21"/>
              </w:rPr>
              <w:t>  审结</w:t>
            </w:r>
          </w:p>
        </w:tc>
        <w:tc>
          <w:tcPr>
            <w:tcW w:w="456"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总计</w:t>
            </w:r>
          </w:p>
        </w:tc>
        <w:tc>
          <w:tcPr>
            <w:tcW w:w="2160" w:type="dxa"/>
            <w:gridSpan w:val="5"/>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未经复议直接起诉</w:t>
            </w:r>
          </w:p>
        </w:tc>
        <w:tc>
          <w:tcPr>
            <w:tcW w:w="2376" w:type="dxa"/>
            <w:gridSpan w:val="5"/>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0" w:type="auto"/>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color w:val="333333"/>
                <w:kern w:val="0"/>
                <w:szCs w:val="21"/>
              </w:rPr>
            </w:pPr>
          </w:p>
        </w:tc>
        <w:tc>
          <w:tcPr>
            <w:tcW w:w="43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结果</w:t>
            </w:r>
            <w:r>
              <w:rPr>
                <w:rFonts w:hint="eastAsia" w:ascii="仿宋_GB2312" w:hAnsi="宋体" w:eastAsia="仿宋_GB2312" w:cs="宋体"/>
                <w:b/>
                <w:bCs/>
                <w:color w:val="333333"/>
                <w:kern w:val="0"/>
                <w:szCs w:val="21"/>
              </w:rPr>
              <w:br w:type="textWrapping"/>
            </w:r>
            <w:r>
              <w:rPr>
                <w:rFonts w:hint="eastAsia" w:ascii="仿宋_GB2312" w:hAnsi="宋体" w:eastAsia="仿宋_GB2312" w:cs="宋体"/>
                <w:b/>
                <w:bCs/>
                <w:color w:val="333333"/>
                <w:kern w:val="0"/>
                <w:szCs w:val="21"/>
              </w:rPr>
              <w:t>  维持</w:t>
            </w:r>
          </w:p>
        </w:tc>
        <w:tc>
          <w:tcPr>
            <w:tcW w:w="3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结果</w:t>
            </w:r>
            <w:r>
              <w:rPr>
                <w:rFonts w:hint="eastAsia" w:ascii="仿宋_GB2312" w:hAnsi="宋体" w:eastAsia="仿宋_GB2312" w:cs="宋体"/>
                <w:b/>
                <w:bCs/>
                <w:color w:val="333333"/>
                <w:kern w:val="0"/>
                <w:szCs w:val="21"/>
              </w:rPr>
              <w:br w:type="textWrapping"/>
            </w:r>
            <w:r>
              <w:rPr>
                <w:rFonts w:hint="eastAsia" w:ascii="仿宋_GB2312" w:hAnsi="宋体" w:eastAsia="仿宋_GB2312" w:cs="宋体"/>
                <w:b/>
                <w:bCs/>
                <w:color w:val="333333"/>
                <w:kern w:val="0"/>
                <w:szCs w:val="21"/>
              </w:rPr>
              <w:t>  纠正</w:t>
            </w:r>
          </w:p>
        </w:tc>
        <w:tc>
          <w:tcPr>
            <w:tcW w:w="30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其他</w:t>
            </w:r>
            <w:r>
              <w:rPr>
                <w:rFonts w:hint="eastAsia" w:ascii="仿宋_GB2312" w:hAnsi="宋体" w:eastAsia="仿宋_GB2312" w:cs="宋体"/>
                <w:b/>
                <w:bCs/>
                <w:color w:val="333333"/>
                <w:kern w:val="0"/>
                <w:szCs w:val="21"/>
              </w:rPr>
              <w:br w:type="textWrapping"/>
            </w:r>
            <w:r>
              <w:rPr>
                <w:rFonts w:hint="eastAsia" w:ascii="仿宋_GB2312" w:hAnsi="宋体" w:eastAsia="仿宋_GB2312" w:cs="宋体"/>
                <w:b/>
                <w:bCs/>
                <w:color w:val="333333"/>
                <w:kern w:val="0"/>
                <w:szCs w:val="21"/>
              </w:rPr>
              <w:t>  结果</w:t>
            </w:r>
          </w:p>
        </w:tc>
        <w:tc>
          <w:tcPr>
            <w:tcW w:w="30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尚未</w:t>
            </w:r>
            <w:r>
              <w:rPr>
                <w:rFonts w:hint="eastAsia" w:ascii="仿宋_GB2312" w:hAnsi="宋体" w:eastAsia="仿宋_GB2312" w:cs="宋体"/>
                <w:b/>
                <w:bCs/>
                <w:color w:val="333333"/>
                <w:kern w:val="0"/>
                <w:szCs w:val="21"/>
              </w:rPr>
              <w:br w:type="textWrapping"/>
            </w:r>
            <w:r>
              <w:rPr>
                <w:rFonts w:hint="eastAsia" w:ascii="仿宋_GB2312" w:hAnsi="宋体" w:eastAsia="仿宋_GB2312" w:cs="宋体"/>
                <w:b/>
                <w:bCs/>
                <w:color w:val="333333"/>
                <w:kern w:val="0"/>
                <w:szCs w:val="21"/>
              </w:rPr>
              <w:t>  审结</w:t>
            </w:r>
          </w:p>
        </w:tc>
        <w:tc>
          <w:tcPr>
            <w:tcW w:w="30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总计</w:t>
            </w:r>
          </w:p>
        </w:tc>
        <w:tc>
          <w:tcPr>
            <w:tcW w:w="30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结果</w:t>
            </w:r>
            <w:r>
              <w:rPr>
                <w:rFonts w:hint="eastAsia" w:ascii="仿宋_GB2312" w:hAnsi="宋体" w:eastAsia="仿宋_GB2312" w:cs="宋体"/>
                <w:b/>
                <w:bCs/>
                <w:color w:val="333333"/>
                <w:kern w:val="0"/>
                <w:szCs w:val="21"/>
              </w:rPr>
              <w:br w:type="textWrapping"/>
            </w:r>
            <w:r>
              <w:rPr>
                <w:rFonts w:hint="eastAsia" w:ascii="仿宋_GB2312" w:hAnsi="宋体" w:eastAsia="仿宋_GB2312" w:cs="宋体"/>
                <w:b/>
                <w:bCs/>
                <w:color w:val="333333"/>
                <w:kern w:val="0"/>
                <w:szCs w:val="21"/>
              </w:rPr>
              <w:t>  维持</w:t>
            </w:r>
          </w:p>
        </w:tc>
        <w:tc>
          <w:tcPr>
            <w:tcW w:w="516"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结果</w:t>
            </w:r>
            <w:r>
              <w:rPr>
                <w:rFonts w:hint="eastAsia" w:ascii="仿宋_GB2312" w:hAnsi="宋体" w:eastAsia="仿宋_GB2312" w:cs="宋体"/>
                <w:b/>
                <w:bCs/>
                <w:color w:val="333333"/>
                <w:kern w:val="0"/>
                <w:szCs w:val="21"/>
              </w:rPr>
              <w:br w:type="textWrapping"/>
            </w:r>
            <w:r>
              <w:rPr>
                <w:rFonts w:hint="eastAsia" w:ascii="仿宋_GB2312" w:hAnsi="宋体" w:eastAsia="仿宋_GB2312" w:cs="宋体"/>
                <w:b/>
                <w:bCs/>
                <w:color w:val="333333"/>
                <w:kern w:val="0"/>
                <w:szCs w:val="21"/>
              </w:rPr>
              <w:t>  纠正</w:t>
            </w:r>
          </w:p>
        </w:tc>
        <w:tc>
          <w:tcPr>
            <w:tcW w:w="504"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其他</w:t>
            </w:r>
            <w:r>
              <w:rPr>
                <w:rFonts w:hint="eastAsia" w:ascii="仿宋_GB2312" w:hAnsi="宋体" w:eastAsia="仿宋_GB2312" w:cs="宋体"/>
                <w:b/>
                <w:bCs/>
                <w:color w:val="333333"/>
                <w:kern w:val="0"/>
                <w:szCs w:val="21"/>
              </w:rPr>
              <w:br w:type="textWrapping"/>
            </w:r>
            <w:r>
              <w:rPr>
                <w:rFonts w:hint="eastAsia" w:ascii="仿宋_GB2312" w:hAnsi="宋体" w:eastAsia="仿宋_GB2312" w:cs="宋体"/>
                <w:b/>
                <w:bCs/>
                <w:color w:val="333333"/>
                <w:kern w:val="0"/>
                <w:szCs w:val="21"/>
              </w:rPr>
              <w:t>  结果</w:t>
            </w:r>
          </w:p>
        </w:tc>
        <w:tc>
          <w:tcPr>
            <w:tcW w:w="30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尚未</w:t>
            </w:r>
            <w:r>
              <w:rPr>
                <w:rFonts w:hint="eastAsia" w:ascii="仿宋_GB2312" w:hAnsi="宋体" w:eastAsia="仿宋_GB2312" w:cs="宋体"/>
                <w:b/>
                <w:bCs/>
                <w:color w:val="333333"/>
                <w:kern w:val="0"/>
                <w:szCs w:val="21"/>
              </w:rPr>
              <w:br w:type="textWrapping"/>
            </w:r>
            <w:r>
              <w:rPr>
                <w:rFonts w:hint="eastAsia" w:ascii="仿宋_GB2312" w:hAnsi="宋体" w:eastAsia="仿宋_GB2312" w:cs="宋体"/>
                <w:b/>
                <w:bCs/>
                <w:color w:val="333333"/>
                <w:kern w:val="0"/>
                <w:szCs w:val="21"/>
              </w:rPr>
              <w:t>  审结</w:t>
            </w:r>
          </w:p>
        </w:tc>
        <w:tc>
          <w:tcPr>
            <w:tcW w:w="30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总计</w:t>
            </w:r>
          </w:p>
        </w:tc>
      </w:tr>
      <w:tr>
        <w:tblPrEx>
          <w:tblCellMar>
            <w:top w:w="0" w:type="dxa"/>
            <w:left w:w="0" w:type="dxa"/>
            <w:bottom w:w="0" w:type="dxa"/>
            <w:right w:w="0" w:type="dxa"/>
          </w:tblCellMar>
        </w:tblPrEx>
        <w:trPr>
          <w:trHeight w:val="540" w:hRule="atLeast"/>
          <w:jc w:val="center"/>
        </w:trPr>
        <w:tc>
          <w:tcPr>
            <w:tcW w:w="40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ascii="Times New Roman" w:hAnsi="Times New Roman" w:eastAsia="宋体" w:cs="Times New Roman"/>
                <w:b/>
                <w:bCs/>
                <w:color w:val="333333"/>
                <w:kern w:val="0"/>
                <w:szCs w:val="21"/>
              </w:rPr>
              <w:t> </w:t>
            </w:r>
            <w:r>
              <w:rPr>
                <w:rFonts w:hint="eastAsia" w:ascii="仿宋_GB2312" w:hAnsi="宋体" w:eastAsia="仿宋_GB2312" w:cs="宋体"/>
                <w:b/>
                <w:bCs/>
                <w:color w:val="333333"/>
                <w:kern w:val="0"/>
                <w:szCs w:val="21"/>
              </w:rPr>
              <w:t>0</w:t>
            </w:r>
          </w:p>
        </w:tc>
        <w:tc>
          <w:tcPr>
            <w:tcW w:w="49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ascii="Times New Roman" w:hAnsi="Times New Roman" w:eastAsia="宋体" w:cs="Times New Roman"/>
                <w:b/>
                <w:bCs/>
                <w:color w:val="333333"/>
                <w:kern w:val="0"/>
                <w:szCs w:val="21"/>
              </w:rPr>
              <w:t> </w:t>
            </w:r>
            <w:r>
              <w:rPr>
                <w:rFonts w:hint="eastAsia" w:ascii="仿宋_GB2312" w:hAnsi="宋体" w:eastAsia="仿宋_GB2312" w:cs="宋体"/>
                <w:b/>
                <w:bCs/>
                <w:color w:val="333333"/>
                <w:kern w:val="0"/>
                <w:szCs w:val="21"/>
              </w:rPr>
              <w:t>0</w:t>
            </w:r>
          </w:p>
        </w:tc>
        <w:tc>
          <w:tcPr>
            <w:tcW w:w="48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ascii="Times New Roman" w:hAnsi="Times New Roman" w:eastAsia="宋体" w:cs="Times New Roman"/>
                <w:b/>
                <w:bCs/>
                <w:color w:val="333333"/>
                <w:kern w:val="0"/>
                <w:szCs w:val="21"/>
              </w:rPr>
              <w:t> </w:t>
            </w:r>
            <w:r>
              <w:rPr>
                <w:rFonts w:hint="eastAsia" w:ascii="仿宋_GB2312" w:hAnsi="宋体" w:eastAsia="仿宋_GB2312" w:cs="宋体"/>
                <w:b/>
                <w:bCs/>
                <w:color w:val="333333"/>
                <w:kern w:val="0"/>
                <w:szCs w:val="21"/>
              </w:rPr>
              <w:t>0</w:t>
            </w:r>
          </w:p>
        </w:tc>
        <w:tc>
          <w:tcPr>
            <w:tcW w:w="468"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0</w:t>
            </w:r>
            <w:r>
              <w:rPr>
                <w:rFonts w:ascii="Times New Roman" w:hAnsi="Times New Roman" w:eastAsia="宋体" w:cs="Times New Roman"/>
                <w:b/>
                <w:bCs/>
                <w:color w:val="333333"/>
                <w:kern w:val="0"/>
                <w:szCs w:val="21"/>
              </w:rPr>
              <w:t> </w:t>
            </w:r>
          </w:p>
        </w:tc>
        <w:tc>
          <w:tcPr>
            <w:tcW w:w="456"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0</w:t>
            </w:r>
            <w:r>
              <w:rPr>
                <w:rFonts w:ascii="Times New Roman" w:hAnsi="Times New Roman" w:eastAsia="宋体" w:cs="Times New Roman"/>
                <w:b/>
                <w:bCs/>
                <w:color w:val="333333"/>
                <w:kern w:val="0"/>
                <w:szCs w:val="21"/>
              </w:rPr>
              <w:t> </w:t>
            </w:r>
          </w:p>
        </w:tc>
        <w:tc>
          <w:tcPr>
            <w:tcW w:w="432"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ascii="Times New Roman" w:hAnsi="Times New Roman" w:eastAsia="宋体" w:cs="Times New Roman"/>
                <w:b/>
                <w:bCs/>
                <w:color w:val="333333"/>
                <w:kern w:val="0"/>
                <w:szCs w:val="21"/>
              </w:rPr>
              <w:t> </w:t>
            </w:r>
            <w:r>
              <w:rPr>
                <w:rFonts w:hint="eastAsia" w:ascii="仿宋_GB2312" w:hAnsi="宋体" w:eastAsia="仿宋_GB2312" w:cs="宋体"/>
                <w:b/>
                <w:bCs/>
                <w:color w:val="333333"/>
                <w:kern w:val="0"/>
                <w:szCs w:val="21"/>
              </w:rPr>
              <w:t>0</w:t>
            </w:r>
          </w:p>
        </w:tc>
        <w:tc>
          <w:tcPr>
            <w:tcW w:w="36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ascii="Times New Roman" w:hAnsi="Times New Roman" w:eastAsia="宋体" w:cs="Times New Roman"/>
                <w:b/>
                <w:bCs/>
                <w:color w:val="333333"/>
                <w:kern w:val="0"/>
                <w:szCs w:val="21"/>
              </w:rPr>
              <w:t> </w:t>
            </w:r>
            <w:r>
              <w:rPr>
                <w:rFonts w:hint="eastAsia" w:ascii="仿宋_GB2312" w:hAnsi="宋体" w:eastAsia="仿宋_GB2312" w:cs="宋体"/>
                <w:b/>
                <w:bCs/>
                <w:color w:val="333333"/>
                <w:kern w:val="0"/>
                <w:szCs w:val="21"/>
              </w:rPr>
              <w:t>0</w:t>
            </w:r>
          </w:p>
        </w:tc>
        <w:tc>
          <w:tcPr>
            <w:tcW w:w="30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ascii="Times New Roman" w:hAnsi="Times New Roman" w:eastAsia="宋体" w:cs="Times New Roman"/>
                <w:b/>
                <w:bCs/>
                <w:color w:val="333333"/>
                <w:kern w:val="0"/>
                <w:szCs w:val="21"/>
              </w:rPr>
              <w:t> </w:t>
            </w:r>
            <w:r>
              <w:rPr>
                <w:rFonts w:hint="eastAsia" w:ascii="仿宋_GB2312" w:hAnsi="宋体" w:eastAsia="仿宋_GB2312" w:cs="宋体"/>
                <w:b/>
                <w:bCs/>
                <w:color w:val="333333"/>
                <w:kern w:val="0"/>
                <w:szCs w:val="21"/>
              </w:rPr>
              <w:t>0</w:t>
            </w:r>
          </w:p>
        </w:tc>
        <w:tc>
          <w:tcPr>
            <w:tcW w:w="30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ascii="Times New Roman" w:hAnsi="Times New Roman" w:eastAsia="宋体" w:cs="Times New Roman"/>
                <w:b/>
                <w:bCs/>
                <w:color w:val="333333"/>
                <w:kern w:val="0"/>
                <w:szCs w:val="21"/>
              </w:rPr>
              <w:t> </w:t>
            </w:r>
            <w:r>
              <w:rPr>
                <w:rFonts w:hint="eastAsia" w:ascii="仿宋_GB2312" w:hAnsi="宋体" w:eastAsia="仿宋_GB2312" w:cs="宋体"/>
                <w:b/>
                <w:bCs/>
                <w:color w:val="333333"/>
                <w:kern w:val="0"/>
                <w:szCs w:val="21"/>
              </w:rPr>
              <w:t>0</w:t>
            </w:r>
          </w:p>
        </w:tc>
        <w:tc>
          <w:tcPr>
            <w:tcW w:w="30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hint="eastAsia" w:ascii="仿宋_GB2312" w:hAnsi="宋体" w:eastAsia="仿宋_GB2312" w:cs="宋体"/>
                <w:b/>
                <w:bCs/>
                <w:color w:val="333333"/>
                <w:kern w:val="0"/>
                <w:szCs w:val="21"/>
              </w:rPr>
              <w:t>0</w:t>
            </w:r>
            <w:r>
              <w:rPr>
                <w:rFonts w:ascii="Times New Roman" w:hAnsi="Times New Roman" w:eastAsia="宋体" w:cs="Times New Roman"/>
                <w:b/>
                <w:bCs/>
                <w:color w:val="333333"/>
                <w:kern w:val="0"/>
                <w:szCs w:val="21"/>
              </w:rPr>
              <w:t> </w:t>
            </w:r>
          </w:p>
        </w:tc>
        <w:tc>
          <w:tcPr>
            <w:tcW w:w="30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ascii="Times New Roman" w:hAnsi="Times New Roman" w:eastAsia="宋体" w:cs="Times New Roman"/>
                <w:b/>
                <w:bCs/>
                <w:color w:val="333333"/>
                <w:kern w:val="0"/>
                <w:szCs w:val="21"/>
              </w:rPr>
              <w:t> </w:t>
            </w:r>
            <w:r>
              <w:rPr>
                <w:rFonts w:hint="eastAsia" w:ascii="仿宋_GB2312" w:hAnsi="宋体" w:eastAsia="仿宋_GB2312" w:cs="宋体"/>
                <w:b/>
                <w:bCs/>
                <w:color w:val="333333"/>
                <w:kern w:val="0"/>
                <w:szCs w:val="21"/>
              </w:rPr>
              <w:t>0</w:t>
            </w:r>
          </w:p>
        </w:tc>
        <w:tc>
          <w:tcPr>
            <w:tcW w:w="516"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ascii="Times New Roman" w:hAnsi="Times New Roman" w:eastAsia="宋体" w:cs="Times New Roman"/>
                <w:b/>
                <w:bCs/>
                <w:color w:val="333333"/>
                <w:kern w:val="0"/>
                <w:szCs w:val="21"/>
              </w:rPr>
              <w:t> </w:t>
            </w:r>
            <w:r>
              <w:rPr>
                <w:rFonts w:hint="eastAsia" w:ascii="仿宋_GB2312" w:hAnsi="宋体" w:eastAsia="仿宋_GB2312" w:cs="宋体"/>
                <w:b/>
                <w:bCs/>
                <w:color w:val="333333"/>
                <w:kern w:val="0"/>
                <w:szCs w:val="21"/>
              </w:rPr>
              <w:t>0</w:t>
            </w:r>
          </w:p>
        </w:tc>
        <w:tc>
          <w:tcPr>
            <w:tcW w:w="504"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ascii="Times New Roman" w:hAnsi="Times New Roman" w:eastAsia="宋体" w:cs="Times New Roman"/>
                <w:b/>
                <w:bCs/>
                <w:color w:val="333333"/>
                <w:kern w:val="0"/>
                <w:szCs w:val="21"/>
              </w:rPr>
              <w:t> </w:t>
            </w:r>
            <w:r>
              <w:rPr>
                <w:rFonts w:hint="eastAsia" w:ascii="仿宋_GB2312" w:hAnsi="宋体" w:eastAsia="仿宋_GB2312" w:cs="宋体"/>
                <w:b/>
                <w:bCs/>
                <w:color w:val="333333"/>
                <w:kern w:val="0"/>
                <w:szCs w:val="21"/>
              </w:rPr>
              <w:t>0</w:t>
            </w:r>
          </w:p>
        </w:tc>
        <w:tc>
          <w:tcPr>
            <w:tcW w:w="30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center"/>
              <w:rPr>
                <w:rFonts w:ascii="宋体" w:hAnsi="宋体" w:eastAsia="宋体" w:cs="宋体"/>
                <w:color w:val="333333"/>
                <w:kern w:val="0"/>
                <w:szCs w:val="21"/>
              </w:rPr>
            </w:pPr>
            <w:r>
              <w:rPr>
                <w:rFonts w:ascii="Times New Roman" w:hAnsi="Times New Roman" w:eastAsia="宋体" w:cs="Times New Roman"/>
                <w:b/>
                <w:bCs/>
                <w:color w:val="333333"/>
                <w:kern w:val="0"/>
                <w:szCs w:val="21"/>
              </w:rPr>
              <w:t> </w:t>
            </w:r>
            <w:r>
              <w:rPr>
                <w:rFonts w:hint="eastAsia" w:ascii="仿宋_GB2312" w:hAnsi="宋体" w:eastAsia="仿宋_GB2312" w:cs="宋体"/>
                <w:b/>
                <w:bCs/>
                <w:color w:val="333333"/>
                <w:kern w:val="0"/>
                <w:szCs w:val="21"/>
              </w:rPr>
              <w:t>0</w:t>
            </w:r>
          </w:p>
        </w:tc>
        <w:tc>
          <w:tcPr>
            <w:tcW w:w="30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345" w:lineRule="atLeast"/>
              <w:jc w:val="left"/>
              <w:rPr>
                <w:rFonts w:ascii="宋体" w:hAnsi="宋体" w:eastAsia="宋体" w:cs="宋体"/>
                <w:color w:val="333333"/>
                <w:kern w:val="0"/>
                <w:szCs w:val="21"/>
              </w:rPr>
            </w:pPr>
            <w:r>
              <w:rPr>
                <w:rFonts w:hint="eastAsia" w:ascii="仿宋_GB2312" w:hAnsi="宋体" w:eastAsia="仿宋_GB2312" w:cs="宋体"/>
                <w:b/>
                <w:bCs/>
                <w:color w:val="333333"/>
                <w:kern w:val="0"/>
                <w:szCs w:val="21"/>
              </w:rPr>
              <w:t> 0</w:t>
            </w:r>
          </w:p>
        </w:tc>
      </w:tr>
    </w:tbl>
    <w:p>
      <w:pPr>
        <w:widowControl/>
        <w:spacing w:line="555" w:lineRule="atLeast"/>
        <w:ind w:firstLine="645"/>
        <w:jc w:val="left"/>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五、存在的主要问题及改进情况</w:t>
      </w:r>
    </w:p>
    <w:p>
      <w:pPr>
        <w:widowControl/>
        <w:spacing w:line="555" w:lineRule="atLeast"/>
        <w:ind w:firstLine="645"/>
        <w:jc w:val="lef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在202</w:t>
      </w:r>
      <w:r>
        <w:rPr>
          <w:rFonts w:ascii="仿宋_GB2312" w:hAnsi="微软雅黑" w:eastAsia="仿宋_GB2312" w:cs="宋体"/>
          <w:color w:val="333333"/>
          <w:kern w:val="0"/>
          <w:sz w:val="32"/>
          <w:szCs w:val="32"/>
        </w:rPr>
        <w:t>3</w:t>
      </w:r>
      <w:r>
        <w:rPr>
          <w:rFonts w:hint="eastAsia" w:ascii="仿宋_GB2312" w:hAnsi="微软雅黑" w:eastAsia="仿宋_GB2312" w:cs="宋体"/>
          <w:color w:val="333333"/>
          <w:kern w:val="0"/>
          <w:sz w:val="32"/>
          <w:szCs w:val="32"/>
        </w:rPr>
        <w:t>年度工作</w:t>
      </w:r>
      <w:r>
        <w:rPr>
          <w:rFonts w:ascii="仿宋_GB2312" w:hAnsi="微软雅黑" w:eastAsia="仿宋_GB2312" w:cs="宋体"/>
          <w:color w:val="333333"/>
          <w:kern w:val="0"/>
          <w:sz w:val="32"/>
          <w:szCs w:val="32"/>
        </w:rPr>
        <w:t>中</w:t>
      </w:r>
      <w:r>
        <w:rPr>
          <w:rFonts w:hint="eastAsia" w:ascii="仿宋_GB2312" w:hAnsi="微软雅黑" w:eastAsia="仿宋_GB2312" w:cs="宋体"/>
          <w:color w:val="333333"/>
          <w:kern w:val="0"/>
          <w:sz w:val="32"/>
          <w:szCs w:val="32"/>
        </w:rPr>
        <w:t>，在</w:t>
      </w:r>
      <w:r>
        <w:rPr>
          <w:rFonts w:ascii="仿宋_GB2312" w:hAnsi="微软雅黑" w:eastAsia="仿宋_GB2312" w:cs="宋体"/>
          <w:color w:val="333333"/>
          <w:kern w:val="0"/>
          <w:sz w:val="32"/>
          <w:szCs w:val="32"/>
        </w:rPr>
        <w:t>上级</w:t>
      </w:r>
      <w:r>
        <w:rPr>
          <w:rFonts w:hint="eastAsia" w:ascii="仿宋_GB2312" w:hAnsi="微软雅黑" w:eastAsia="仿宋_GB2312" w:cs="宋体"/>
          <w:color w:val="333333"/>
          <w:kern w:val="0"/>
          <w:sz w:val="32"/>
          <w:szCs w:val="32"/>
        </w:rPr>
        <w:t>业务</w:t>
      </w:r>
      <w:r>
        <w:rPr>
          <w:rFonts w:ascii="仿宋_GB2312" w:hAnsi="微软雅黑" w:eastAsia="仿宋_GB2312" w:cs="宋体"/>
          <w:color w:val="333333"/>
          <w:kern w:val="0"/>
          <w:sz w:val="32"/>
          <w:szCs w:val="32"/>
        </w:rPr>
        <w:t>部门的大力指导</w:t>
      </w:r>
      <w:r>
        <w:rPr>
          <w:rFonts w:hint="eastAsia" w:ascii="仿宋_GB2312" w:hAnsi="微软雅黑" w:eastAsia="仿宋_GB2312" w:cs="宋体"/>
          <w:color w:val="333333"/>
          <w:kern w:val="0"/>
          <w:sz w:val="32"/>
          <w:szCs w:val="32"/>
        </w:rPr>
        <w:t>下</w:t>
      </w:r>
      <w:r>
        <w:rPr>
          <w:rFonts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rPr>
        <w:t>我局在政府信息公开工作上较好的</w:t>
      </w:r>
      <w:r>
        <w:rPr>
          <w:rFonts w:ascii="仿宋_GB2312" w:hAnsi="微软雅黑" w:eastAsia="仿宋_GB2312" w:cs="宋体"/>
          <w:color w:val="333333"/>
          <w:kern w:val="0"/>
          <w:sz w:val="32"/>
          <w:szCs w:val="32"/>
        </w:rPr>
        <w:t>完成了相关工作，</w:t>
      </w:r>
      <w:r>
        <w:rPr>
          <w:rFonts w:hint="eastAsia" w:ascii="仿宋_GB2312" w:hAnsi="微软雅黑" w:eastAsia="仿宋_GB2312" w:cs="宋体"/>
          <w:color w:val="333333"/>
          <w:kern w:val="0"/>
          <w:sz w:val="32"/>
          <w:szCs w:val="32"/>
        </w:rPr>
        <w:t>但在实际工作中仍然存在一些问题：一是政务公开工作人员业务水平</w:t>
      </w:r>
      <w:r>
        <w:rPr>
          <w:rFonts w:ascii="仿宋_GB2312" w:hAnsi="微软雅黑" w:eastAsia="仿宋_GB2312" w:cs="宋体"/>
          <w:color w:val="333333"/>
          <w:kern w:val="0"/>
          <w:sz w:val="32"/>
          <w:szCs w:val="32"/>
        </w:rPr>
        <w:t>不高，</w:t>
      </w:r>
      <w:r>
        <w:rPr>
          <w:rFonts w:hint="eastAsia" w:ascii="仿宋_GB2312" w:hAnsi="微软雅黑" w:eastAsia="仿宋_GB2312" w:cs="宋体"/>
          <w:color w:val="333333"/>
          <w:kern w:val="0"/>
          <w:sz w:val="32"/>
          <w:szCs w:val="32"/>
        </w:rPr>
        <w:t>无法全面掌握</w:t>
      </w:r>
      <w:r>
        <w:rPr>
          <w:rFonts w:ascii="仿宋_GB2312" w:hAnsi="微软雅黑" w:eastAsia="仿宋_GB2312" w:cs="宋体"/>
          <w:color w:val="333333"/>
          <w:kern w:val="0"/>
          <w:sz w:val="32"/>
          <w:szCs w:val="32"/>
        </w:rPr>
        <w:t>全局各项</w:t>
      </w:r>
      <w:r>
        <w:rPr>
          <w:rFonts w:hint="eastAsia" w:ascii="仿宋_GB2312" w:hAnsi="微软雅黑" w:eastAsia="仿宋_GB2312" w:cs="宋体"/>
          <w:color w:val="333333"/>
          <w:kern w:val="0"/>
          <w:sz w:val="32"/>
          <w:szCs w:val="32"/>
        </w:rPr>
        <w:t>工作进展</w:t>
      </w:r>
      <w:r>
        <w:rPr>
          <w:rFonts w:ascii="仿宋_GB2312" w:hAnsi="微软雅黑" w:eastAsia="仿宋_GB2312" w:cs="宋体"/>
          <w:color w:val="333333"/>
          <w:kern w:val="0"/>
          <w:sz w:val="32"/>
          <w:szCs w:val="32"/>
        </w:rPr>
        <w:t>情况，</w:t>
      </w:r>
      <w:r>
        <w:rPr>
          <w:rFonts w:hint="eastAsia" w:ascii="仿宋_GB2312" w:hAnsi="微软雅黑" w:eastAsia="仿宋_GB2312" w:cs="宋体"/>
          <w:color w:val="333333"/>
          <w:kern w:val="0"/>
          <w:sz w:val="32"/>
          <w:szCs w:val="32"/>
        </w:rPr>
        <w:t>信息</w:t>
      </w:r>
      <w:r>
        <w:rPr>
          <w:rFonts w:ascii="仿宋_GB2312" w:hAnsi="微软雅黑" w:eastAsia="仿宋_GB2312" w:cs="宋体"/>
          <w:color w:val="333333"/>
          <w:kern w:val="0"/>
          <w:sz w:val="32"/>
          <w:szCs w:val="32"/>
        </w:rPr>
        <w:t>汇集渠道不畅</w:t>
      </w:r>
      <w:r>
        <w:rPr>
          <w:rFonts w:hint="eastAsia" w:ascii="仿宋_GB2312" w:hAnsi="微软雅黑" w:eastAsia="仿宋_GB2312" w:cs="宋体"/>
          <w:color w:val="333333"/>
          <w:kern w:val="0"/>
          <w:sz w:val="32"/>
          <w:szCs w:val="32"/>
        </w:rPr>
        <w:t>；二是政务信息公开的内容涵盖面较</w:t>
      </w:r>
      <w:r>
        <w:rPr>
          <w:rFonts w:ascii="仿宋_GB2312" w:hAnsi="微软雅黑" w:eastAsia="仿宋_GB2312" w:cs="宋体"/>
          <w:color w:val="333333"/>
          <w:kern w:val="0"/>
          <w:sz w:val="32"/>
          <w:szCs w:val="32"/>
        </w:rPr>
        <w:t>窄，</w:t>
      </w:r>
      <w:r>
        <w:rPr>
          <w:rFonts w:hint="eastAsia" w:ascii="仿宋_GB2312" w:hAnsi="微软雅黑" w:eastAsia="仿宋_GB2312" w:cs="宋体"/>
          <w:color w:val="333333"/>
          <w:kern w:val="0"/>
          <w:sz w:val="32"/>
          <w:szCs w:val="32"/>
        </w:rPr>
        <w:t>一些</w:t>
      </w:r>
      <w:r>
        <w:rPr>
          <w:rFonts w:ascii="仿宋_GB2312" w:hAnsi="微软雅黑" w:eastAsia="仿宋_GB2312" w:cs="宋体"/>
          <w:color w:val="333333"/>
          <w:kern w:val="0"/>
          <w:sz w:val="32"/>
          <w:szCs w:val="32"/>
        </w:rPr>
        <w:t>应公开的信息未能</w:t>
      </w:r>
      <w:r>
        <w:rPr>
          <w:rFonts w:hint="eastAsia" w:ascii="仿宋_GB2312" w:hAnsi="微软雅黑" w:eastAsia="仿宋_GB2312" w:cs="宋体"/>
          <w:color w:val="333333"/>
          <w:kern w:val="0"/>
          <w:sz w:val="32"/>
          <w:szCs w:val="32"/>
        </w:rPr>
        <w:t>公开</w:t>
      </w:r>
      <w:r>
        <w:rPr>
          <w:rFonts w:ascii="仿宋_GB2312" w:hAnsi="微软雅黑" w:eastAsia="仿宋_GB2312" w:cs="宋体"/>
          <w:color w:val="333333"/>
          <w:kern w:val="0"/>
          <w:sz w:val="32"/>
          <w:szCs w:val="32"/>
        </w:rPr>
        <w:t>出去</w:t>
      </w:r>
      <w:r>
        <w:rPr>
          <w:rFonts w:hint="eastAsia" w:ascii="仿宋_GB2312" w:hAnsi="微软雅黑" w:eastAsia="仿宋_GB2312" w:cs="宋体"/>
          <w:color w:val="333333"/>
          <w:kern w:val="0"/>
          <w:sz w:val="32"/>
          <w:szCs w:val="32"/>
        </w:rPr>
        <w:t>。</w:t>
      </w:r>
    </w:p>
    <w:p>
      <w:pPr>
        <w:widowControl/>
        <w:spacing w:line="555" w:lineRule="atLeast"/>
        <w:ind w:firstLine="645"/>
        <w:jc w:val="lef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在2023年的工作中，从以下几方面进行改进：</w:t>
      </w:r>
    </w:p>
    <w:p>
      <w:pPr>
        <w:widowControl/>
        <w:spacing w:line="555" w:lineRule="atLeast"/>
        <w:ind w:firstLine="645"/>
        <w:jc w:val="lef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一是提高专职</w:t>
      </w:r>
      <w:r>
        <w:rPr>
          <w:rFonts w:ascii="仿宋_GB2312" w:hAnsi="微软雅黑" w:eastAsia="仿宋_GB2312" w:cs="宋体"/>
          <w:color w:val="333333"/>
          <w:kern w:val="0"/>
          <w:sz w:val="32"/>
          <w:szCs w:val="32"/>
        </w:rPr>
        <w:t>人员</w:t>
      </w:r>
      <w:r>
        <w:rPr>
          <w:rFonts w:hint="eastAsia" w:ascii="仿宋_GB2312" w:hAnsi="微软雅黑" w:eastAsia="仿宋_GB2312" w:cs="宋体"/>
          <w:color w:val="333333"/>
          <w:kern w:val="0"/>
          <w:sz w:val="32"/>
          <w:szCs w:val="32"/>
        </w:rPr>
        <w:t>业务水平</w:t>
      </w:r>
      <w:r>
        <w:rPr>
          <w:rFonts w:ascii="仿宋_GB2312" w:hAnsi="微软雅黑" w:eastAsia="仿宋_GB2312" w:cs="宋体"/>
          <w:color w:val="333333"/>
          <w:kern w:val="0"/>
          <w:sz w:val="32"/>
          <w:szCs w:val="32"/>
        </w:rPr>
        <w:t>，</w:t>
      </w:r>
      <w:r>
        <w:rPr>
          <w:rFonts w:hint="eastAsia" w:ascii="仿宋_GB2312" w:hAnsi="微软雅黑" w:eastAsia="仿宋_GB2312" w:cs="宋体"/>
          <w:color w:val="333333"/>
          <w:kern w:val="0"/>
          <w:sz w:val="32"/>
          <w:szCs w:val="32"/>
        </w:rPr>
        <w:t>进一步熟悉了解局</w:t>
      </w:r>
      <w:r>
        <w:rPr>
          <w:rFonts w:ascii="仿宋_GB2312" w:hAnsi="微软雅黑" w:eastAsia="仿宋_GB2312" w:cs="宋体"/>
          <w:color w:val="333333"/>
          <w:kern w:val="0"/>
          <w:sz w:val="32"/>
          <w:szCs w:val="32"/>
        </w:rPr>
        <w:t>各项工作</w:t>
      </w:r>
      <w:r>
        <w:rPr>
          <w:rFonts w:hint="eastAsia" w:ascii="仿宋_GB2312" w:hAnsi="微软雅黑" w:eastAsia="仿宋_GB2312" w:cs="宋体"/>
          <w:color w:val="333333"/>
          <w:kern w:val="0"/>
          <w:sz w:val="32"/>
          <w:szCs w:val="32"/>
        </w:rPr>
        <w:t>进展情况； 二是捋顺完善信息公开工作机制，不断拓宽</w:t>
      </w:r>
      <w:r>
        <w:rPr>
          <w:rFonts w:ascii="仿宋_GB2312" w:hAnsi="微软雅黑" w:eastAsia="仿宋_GB2312" w:cs="宋体"/>
          <w:color w:val="333333"/>
          <w:kern w:val="0"/>
          <w:sz w:val="32"/>
          <w:szCs w:val="32"/>
        </w:rPr>
        <w:t>单位</w:t>
      </w:r>
      <w:r>
        <w:rPr>
          <w:rFonts w:hint="eastAsia" w:ascii="仿宋_GB2312" w:hAnsi="微软雅黑" w:eastAsia="仿宋_GB2312" w:cs="宋体"/>
          <w:color w:val="333333"/>
          <w:kern w:val="0"/>
          <w:sz w:val="32"/>
          <w:szCs w:val="32"/>
        </w:rPr>
        <w:t>政务信息</w:t>
      </w:r>
      <w:r>
        <w:rPr>
          <w:rFonts w:ascii="仿宋_GB2312" w:hAnsi="微软雅黑" w:eastAsia="仿宋_GB2312" w:cs="宋体"/>
          <w:color w:val="333333"/>
          <w:kern w:val="0"/>
          <w:sz w:val="32"/>
          <w:szCs w:val="32"/>
        </w:rPr>
        <w:t>公开覆盖面，</w:t>
      </w:r>
      <w:r>
        <w:rPr>
          <w:rFonts w:hint="eastAsia" w:ascii="仿宋_GB2312" w:hAnsi="微软雅黑" w:eastAsia="仿宋_GB2312" w:cs="宋体"/>
          <w:color w:val="333333"/>
          <w:kern w:val="0"/>
          <w:sz w:val="32"/>
          <w:szCs w:val="32"/>
        </w:rPr>
        <w:t>圆满完成</w:t>
      </w:r>
      <w:r>
        <w:rPr>
          <w:rFonts w:ascii="仿宋_GB2312" w:hAnsi="微软雅黑" w:eastAsia="仿宋_GB2312" w:cs="宋体"/>
          <w:color w:val="333333"/>
          <w:kern w:val="0"/>
          <w:sz w:val="32"/>
          <w:szCs w:val="32"/>
        </w:rPr>
        <w:t>上级对我单位政务公开工作的相关要求。</w:t>
      </w:r>
    </w:p>
    <w:p>
      <w:pPr>
        <w:widowControl/>
        <w:spacing w:line="555" w:lineRule="atLeast"/>
        <w:ind w:firstLine="480"/>
        <w:jc w:val="left"/>
        <w:rPr>
          <w:rFonts w:ascii="微软雅黑" w:hAnsi="微软雅黑" w:eastAsia="微软雅黑" w:cs="宋体"/>
          <w:color w:val="333333"/>
          <w:kern w:val="0"/>
          <w:szCs w:val="21"/>
        </w:rPr>
      </w:pPr>
      <w:r>
        <w:rPr>
          <w:rFonts w:hint="eastAsia" w:ascii="黑体" w:hAnsi="黑体" w:eastAsia="黑体" w:cs="宋体"/>
          <w:color w:val="333333"/>
          <w:kern w:val="0"/>
          <w:sz w:val="32"/>
          <w:szCs w:val="32"/>
        </w:rPr>
        <w:t>六、其他需要报告的事项</w:t>
      </w:r>
    </w:p>
    <w:p>
      <w:pPr>
        <w:spacing w:line="590" w:lineRule="exact"/>
        <w:ind w:right="-105" w:rightChars="-50" w:firstLine="640" w:firstLineChars="200"/>
        <w:rPr>
          <w:rFonts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（一）</w:t>
      </w:r>
      <w:r>
        <w:rPr>
          <w:rFonts w:ascii="仿宋_GB2312" w:hAnsi="微软雅黑" w:eastAsia="仿宋_GB2312" w:cs="宋体"/>
          <w:color w:val="333333"/>
          <w:kern w:val="0"/>
          <w:sz w:val="32"/>
          <w:szCs w:val="32"/>
        </w:rPr>
        <w:t>依据《政府信息公开信息处理费管理办法》收取信息处理费的情况</w:t>
      </w:r>
      <w:r>
        <w:rPr>
          <w:rFonts w:hint="eastAsia" w:ascii="仿宋_GB2312" w:hAnsi="微软雅黑" w:eastAsia="仿宋_GB2312" w:cs="宋体"/>
          <w:color w:val="333333"/>
          <w:kern w:val="0"/>
          <w:sz w:val="32"/>
          <w:szCs w:val="32"/>
        </w:rPr>
        <w:t>: 无;</w:t>
      </w:r>
    </w:p>
    <w:p>
      <w:pPr>
        <w:widowControl/>
        <w:spacing w:line="555" w:lineRule="atLeast"/>
        <w:ind w:firstLine="480"/>
        <w:jc w:val="lef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（二）本年度政务公开工作创新情况：无;</w:t>
      </w:r>
    </w:p>
    <w:p>
      <w:pPr>
        <w:widowControl/>
        <w:spacing w:line="555" w:lineRule="atLeast"/>
        <w:ind w:firstLine="480"/>
        <w:jc w:val="lef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（三）本行政机关认为需要报告的其他事项：无；</w:t>
      </w:r>
    </w:p>
    <w:p>
      <w:pPr>
        <w:widowControl/>
        <w:spacing w:line="555" w:lineRule="atLeast"/>
        <w:ind w:firstLine="480"/>
        <w:jc w:val="left"/>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（四）其他有关文件专门要求通过政府信息公开工作年度报告予以报告的事项：无。</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粗黑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xZjRmMTU2OTE0OTNjMjRjNTgyZTc4ODBjZTY2YWMifQ=="/>
  </w:docVars>
  <w:rsids>
    <w:rsidRoot w:val="00251348"/>
    <w:rsid w:val="000E39AE"/>
    <w:rsid w:val="0013594A"/>
    <w:rsid w:val="00203247"/>
    <w:rsid w:val="00251348"/>
    <w:rsid w:val="002521D4"/>
    <w:rsid w:val="00277AD2"/>
    <w:rsid w:val="002B6410"/>
    <w:rsid w:val="003A5611"/>
    <w:rsid w:val="00464C97"/>
    <w:rsid w:val="00554D39"/>
    <w:rsid w:val="00716920"/>
    <w:rsid w:val="0074098B"/>
    <w:rsid w:val="007909A6"/>
    <w:rsid w:val="0081469A"/>
    <w:rsid w:val="00A66EC0"/>
    <w:rsid w:val="00AF4599"/>
    <w:rsid w:val="00BB601B"/>
    <w:rsid w:val="00BE57D3"/>
    <w:rsid w:val="00CF43BD"/>
    <w:rsid w:val="00D95CE1"/>
    <w:rsid w:val="00DD315F"/>
    <w:rsid w:val="00ED58D9"/>
    <w:rsid w:val="00F73768"/>
    <w:rsid w:val="618D4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caption"/>
    <w:basedOn w:val="1"/>
    <w:next w:val="1"/>
    <w:autoRedefine/>
    <w:unhideWhenUsed/>
    <w:qFormat/>
    <w:uiPriority w:val="35"/>
    <w:rPr>
      <w:rFonts w:eastAsia="黑体" w:asciiTheme="majorHAnsi" w:hAnsiTheme="majorHAnsi" w:cstheme="majorBidi"/>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Personal\Desktop\KINGSTON\&#26700;&#38754;\00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0.00555555555555556"/>
          <c:y val="0.0138888888888889"/>
          <c:w val="0.580555555555556"/>
          <c:h val="0.898148148148148"/>
        </c:manualLayout>
      </c:layout>
      <c:pie3DChart>
        <c:varyColors val="1"/>
        <c:ser>
          <c:idx val="0"/>
          <c:order val="0"/>
          <c:spPr/>
          <c:explosion val="0"/>
          <c:dPt>
            <c:idx val="0"/>
            <c:bubble3D val="0"/>
            <c:explosion val="2"/>
            <c:spPr>
              <a:solidFill>
                <a:schemeClr val="accent1"/>
              </a:solidFill>
              <a:ln>
                <a:noFill/>
              </a:ln>
              <a:effectLst>
                <a:outerShdw blurRad="254000" sx="102000" sy="102000" algn="ctr" rotWithShape="0">
                  <a:prstClr val="black">
                    <a:alpha val="20000"/>
                  </a:prstClr>
                </a:outerShdw>
              </a:effectLst>
              <a:scene3d>
                <a:camera prst="orthographicFront"/>
                <a:lightRig rig="threePt" dir="t"/>
              </a:scene3d>
              <a:sp3d/>
            </c:spPr>
          </c:dPt>
          <c:dPt>
            <c:idx val="1"/>
            <c:bubble3D val="0"/>
            <c:spPr>
              <a:solidFill>
                <a:schemeClr val="accent2"/>
              </a:solidFill>
              <a:ln>
                <a:noFill/>
              </a:ln>
              <a:effectLst>
                <a:outerShdw blurRad="254000" sx="102000" sy="102000" algn="ctr" rotWithShape="0">
                  <a:prstClr val="black">
                    <a:alpha val="20000"/>
                  </a:prstClr>
                </a:outerShdw>
              </a:effectLst>
              <a:scene3d>
                <a:camera prst="orthographicFront"/>
                <a:lightRig rig="threePt" dir="t"/>
              </a:scene3d>
              <a:sp3d/>
            </c:spPr>
          </c:dPt>
          <c:dLbls>
            <c:dLbl>
              <c:idx val="0"/>
              <c:layout/>
              <c:tx>
                <c:rich>
                  <a:bodyPr rot="0" spcFirstLastPara="1"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38%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r>
                      <a:rPr lang="en-US" altLang="zh-CN"/>
                      <a:t>62%</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zh-CN" sz="1000" b="1" i="0" u="none" strike="noStrike" kern="1200" baseline="0">
                    <a:solidFill>
                      <a:schemeClr val="lt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Sheet1!$A$1:$A$2</c:f>
              <c:strCache>
                <c:ptCount val="2"/>
                <c:pt idx="0">
                  <c:v>通过曲阜市门户网站主动公开各类政府信息25条，占比38%</c:v>
                </c:pt>
                <c:pt idx="1">
                  <c:v>通过水务局门户网站发布各类信息40条，占比62%</c:v>
                </c:pt>
              </c:strCache>
            </c:strRef>
          </c:cat>
          <c:val>
            <c:numRef>
              <c:f>Sheet1!$B$1:$B$2</c:f>
              <c:numCache>
                <c:formatCode>0.00%</c:formatCode>
                <c:ptCount val="2"/>
                <c:pt idx="0">
                  <c:v>0.385</c:v>
                </c:pt>
                <c:pt idx="1">
                  <c:v>0.615</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6</Pages>
  <Words>2356</Words>
  <Characters>2444</Characters>
  <Lines>20</Lines>
  <Paragraphs>5</Paragraphs>
  <TotalTime>283</TotalTime>
  <ScaleCrop>false</ScaleCrop>
  <LinksUpToDate>false</LinksUpToDate>
  <CharactersWithSpaces>2485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2024-01-20T02:17:00Z</dcterms:created>
  <dc:creator>USER-</dc:creator>
  <cp:lastModifiedBy>Jade</cp:lastModifiedBy>
  <dcterms:modified xsi:type="dcterms:W3CDTF">2024-01-30T05:20:35Z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57C41415700F495C82F9231EDD4F2A15_12</vt:lpwstr>
  </property>
</Properties>
</file>