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100" w:rightChars="-50"/>
        <w:jc w:val="center"/>
        <w:textAlignment w:val="auto"/>
        <w:outlineLvl w:val="0"/>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lang w:eastAsia="zh-CN"/>
        </w:rPr>
        <w:t>曲阜市教育和体育局</w:t>
      </w:r>
      <w:r>
        <w:rPr>
          <w:rFonts w:hint="eastAsia" w:ascii="方正小标宋简体" w:hAnsi="方正小标宋简体" w:eastAsia="方正小标宋简体" w:cs="方正小标宋简体"/>
          <w:b/>
          <w:color w:val="000000"/>
          <w:sz w:val="44"/>
          <w:szCs w:val="44"/>
        </w:rPr>
        <w:t>2022年政府信息公开</w:t>
      </w:r>
    </w:p>
    <w:p>
      <w:pPr>
        <w:keepNext w:val="0"/>
        <w:keepLines w:val="0"/>
        <w:pageBreakBefore w:val="0"/>
        <w:kinsoku/>
        <w:wordWrap/>
        <w:overflowPunct/>
        <w:topLinePunct w:val="0"/>
        <w:autoSpaceDE/>
        <w:autoSpaceDN/>
        <w:bidi w:val="0"/>
        <w:adjustRightInd/>
        <w:snapToGrid/>
        <w:spacing w:line="560" w:lineRule="exact"/>
        <w:ind w:right="-100" w:rightChars="-50"/>
        <w:jc w:val="center"/>
        <w:textAlignment w:val="auto"/>
        <w:outlineLvl w:val="0"/>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工作年度报告</w:t>
      </w: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仿宋_GB2312" w:cs="Times New Roman"/>
          <w:b/>
          <w:color w:val="000000"/>
          <w:spacing w:val="-11"/>
          <w:sz w:val="32"/>
          <w:szCs w:val="32"/>
        </w:rPr>
      </w:pPr>
      <w:r>
        <w:rPr>
          <w:rFonts w:hint="default" w:ascii="Times New Roman" w:hAnsi="Times New Roman" w:eastAsia="仿宋_GB2312" w:cs="Times New Roman"/>
          <w:b/>
          <w:color w:val="000000"/>
          <w:sz w:val="32"/>
          <w:szCs w:val="32"/>
        </w:rPr>
        <w:t>本报告由</w:t>
      </w:r>
      <w:r>
        <w:rPr>
          <w:rFonts w:hint="default" w:ascii="Times New Roman" w:hAnsi="Times New Roman" w:eastAsia="仿宋_GB2312" w:cs="Times New Roman"/>
          <w:b/>
          <w:color w:val="000000"/>
          <w:sz w:val="32"/>
          <w:szCs w:val="32"/>
          <w:lang w:eastAsia="zh-CN"/>
        </w:rPr>
        <w:t>曲阜市教育和体育局</w:t>
      </w:r>
      <w:r>
        <w:rPr>
          <w:rFonts w:hint="default" w:ascii="Times New Roman" w:hAnsi="Times New Roman" w:eastAsia="仿宋_GB2312" w:cs="Times New Roman"/>
          <w:b/>
          <w:color w:val="000000"/>
          <w:sz w:val="32"/>
          <w:szCs w:val="32"/>
        </w:rPr>
        <w:t>按照《中华人民共和国政府信息公开条例》（以下简称《条例》）和《中华人民共和国政府信息</w:t>
      </w:r>
      <w:r>
        <w:rPr>
          <w:rFonts w:hint="default" w:ascii="Times New Roman" w:hAnsi="Times New Roman" w:eastAsia="仿宋_GB2312" w:cs="Times New Roman"/>
          <w:b/>
          <w:color w:val="000000"/>
          <w:spacing w:val="-11"/>
          <w:sz w:val="32"/>
          <w:szCs w:val="32"/>
        </w:rPr>
        <w:t>公开工作年度报告格式》（国办公开办函〔2021〕30号）要求编制。</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本报告所列数据的统计期限自2022年1月1日起至2022年12月31日止。本报告电子版可在“中国·</w:t>
      </w:r>
      <w:r>
        <w:rPr>
          <w:rFonts w:hint="default" w:ascii="Times New Roman" w:hAnsi="Times New Roman" w:eastAsia="仿宋_GB2312" w:cs="Times New Roman"/>
          <w:b/>
          <w:color w:val="000000"/>
          <w:sz w:val="32"/>
          <w:szCs w:val="32"/>
          <w:lang w:val="en-US" w:eastAsia="zh-CN"/>
        </w:rPr>
        <w:t>曲阜</w:t>
      </w:r>
      <w:r>
        <w:rPr>
          <w:rFonts w:hint="default" w:ascii="Times New Roman" w:hAnsi="Times New Roman" w:eastAsia="仿宋_GB2312" w:cs="Times New Roman"/>
          <w:b/>
          <w:color w:val="000000"/>
          <w:sz w:val="32"/>
          <w:szCs w:val="32"/>
        </w:rPr>
        <w:t>”政府门户网站（</w:t>
      </w:r>
      <w:r>
        <w:rPr>
          <w:rFonts w:hint="default" w:ascii="Times New Roman" w:hAnsi="Times New Roman" w:eastAsia="仿宋_GB2312" w:cs="Times New Roman"/>
          <w:b/>
          <w:color w:val="000000"/>
          <w:sz w:val="32"/>
          <w:szCs w:val="32"/>
          <w:lang w:val="en-US" w:eastAsia="zh-CN"/>
        </w:rPr>
        <w:t>www.qufu.gov.cn</w:t>
      </w:r>
      <w:r>
        <w:rPr>
          <w:rFonts w:hint="default" w:ascii="Times New Roman" w:hAnsi="Times New Roman" w:eastAsia="仿宋_GB2312" w:cs="Times New Roman"/>
          <w:b/>
          <w:color w:val="000000"/>
          <w:sz w:val="32"/>
          <w:szCs w:val="32"/>
        </w:rPr>
        <w:t>）查阅或下载。如对本报告有疑问，请与</w:t>
      </w:r>
      <w:r>
        <w:rPr>
          <w:rFonts w:hint="default" w:ascii="Times New Roman" w:hAnsi="Times New Roman" w:eastAsia="仿宋_GB2312" w:cs="Times New Roman"/>
          <w:b/>
          <w:color w:val="000000"/>
          <w:sz w:val="32"/>
          <w:szCs w:val="32"/>
          <w:lang w:eastAsia="zh-CN"/>
        </w:rPr>
        <w:t>曲阜市教育和体育局</w:t>
      </w:r>
      <w:r>
        <w:rPr>
          <w:rFonts w:hint="default" w:ascii="Times New Roman" w:hAnsi="Times New Roman" w:eastAsia="仿宋_GB2312" w:cs="Times New Roman"/>
          <w:b/>
          <w:color w:val="000000"/>
          <w:sz w:val="32"/>
          <w:szCs w:val="32"/>
        </w:rPr>
        <w:t>联系（地址：</w:t>
      </w:r>
      <w:r>
        <w:rPr>
          <w:rFonts w:hint="default" w:ascii="Times New Roman" w:hAnsi="Times New Roman" w:eastAsia="仿宋_GB2312" w:cs="Times New Roman"/>
          <w:b/>
          <w:color w:val="000000"/>
          <w:sz w:val="32"/>
          <w:szCs w:val="32"/>
          <w:lang w:eastAsia="zh-CN"/>
        </w:rPr>
        <w:t>曲阜市裕隆路</w:t>
      </w:r>
      <w:r>
        <w:rPr>
          <w:rFonts w:hint="default" w:ascii="Times New Roman" w:hAnsi="Times New Roman" w:eastAsia="仿宋_GB2312" w:cs="Times New Roman"/>
          <w:b/>
          <w:color w:val="000000"/>
          <w:sz w:val="32"/>
          <w:szCs w:val="32"/>
          <w:lang w:val="en-US" w:eastAsia="zh-CN"/>
        </w:rPr>
        <w:t>116号</w:t>
      </w:r>
      <w:r>
        <w:rPr>
          <w:rFonts w:hint="default" w:ascii="Times New Roman" w:hAnsi="Times New Roman" w:eastAsia="仿宋_GB2312" w:cs="Times New Roman"/>
          <w:b/>
          <w:color w:val="000000"/>
          <w:sz w:val="32"/>
          <w:szCs w:val="32"/>
        </w:rPr>
        <w:t>，联系电话：0537—</w:t>
      </w:r>
      <w:r>
        <w:rPr>
          <w:rFonts w:hint="default" w:ascii="Times New Roman" w:hAnsi="Times New Roman" w:eastAsia="仿宋_GB2312" w:cs="Times New Roman"/>
          <w:b/>
          <w:color w:val="000000"/>
          <w:sz w:val="32"/>
          <w:szCs w:val="32"/>
          <w:lang w:val="en-US" w:eastAsia="zh-CN"/>
        </w:rPr>
        <w:t>4442677</w:t>
      </w:r>
      <w:r>
        <w:rPr>
          <w:rFonts w:hint="default" w:ascii="Times New Roman" w:hAnsi="Times New Roman" w:eastAsia="仿宋_GB2312" w:cs="Times New Roman"/>
          <w:b/>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一、总体情况</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（一）主动公开情况</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lang w:eastAsia="zh-CN"/>
        </w:rPr>
        <w:t>一年来，市教体局</w:t>
      </w:r>
      <w:r>
        <w:rPr>
          <w:rFonts w:hint="default" w:ascii="Times New Roman" w:hAnsi="Times New Roman" w:eastAsia="仿宋_GB2312" w:cs="Times New Roman"/>
          <w:b/>
          <w:color w:val="000000"/>
          <w:sz w:val="32"/>
          <w:szCs w:val="32"/>
        </w:rPr>
        <w:t>坚持以习近平新时代中国特色社会主义思想为指导，深入学习贯彻习近平总书记关于教育的重要论述，深入落实</w:t>
      </w:r>
      <w:r>
        <w:rPr>
          <w:rFonts w:hint="eastAsia" w:eastAsia="仿宋_GB2312" w:cs="Times New Roman"/>
          <w:b/>
          <w:color w:val="000000"/>
          <w:sz w:val="32"/>
          <w:szCs w:val="32"/>
          <w:lang w:eastAsia="zh-CN"/>
        </w:rPr>
        <w:t>省市各级</w:t>
      </w:r>
      <w:r>
        <w:rPr>
          <w:rFonts w:hint="default" w:ascii="Times New Roman" w:hAnsi="Times New Roman" w:eastAsia="仿宋_GB2312" w:cs="Times New Roman"/>
          <w:b/>
          <w:color w:val="000000"/>
          <w:sz w:val="32"/>
          <w:szCs w:val="32"/>
        </w:rPr>
        <w:t>关于全面推进政务公开工作的系列重要部署</w:t>
      </w:r>
      <w:r>
        <w:rPr>
          <w:rFonts w:hint="eastAsia" w:eastAsia="仿宋_GB2312" w:cs="Times New Roman"/>
          <w:b/>
          <w:color w:val="000000"/>
          <w:sz w:val="32"/>
          <w:szCs w:val="32"/>
          <w:lang w:eastAsia="zh-CN"/>
        </w:rPr>
        <w:t>，</w:t>
      </w:r>
      <w:r>
        <w:rPr>
          <w:rFonts w:hint="default" w:ascii="Times New Roman" w:hAnsi="Times New Roman" w:eastAsia="仿宋_GB2312" w:cs="Times New Roman"/>
          <w:b/>
          <w:color w:val="000000"/>
          <w:sz w:val="32"/>
          <w:szCs w:val="32"/>
        </w:rPr>
        <w:t>扎实推动我</w:t>
      </w:r>
      <w:r>
        <w:rPr>
          <w:rFonts w:hint="eastAsia" w:eastAsia="仿宋_GB2312" w:cs="Times New Roman"/>
          <w:b/>
          <w:color w:val="000000"/>
          <w:sz w:val="32"/>
          <w:szCs w:val="32"/>
          <w:lang w:eastAsia="zh-CN"/>
        </w:rPr>
        <w:t>局</w:t>
      </w:r>
      <w:r>
        <w:rPr>
          <w:rFonts w:hint="default" w:ascii="Times New Roman" w:hAnsi="Times New Roman" w:eastAsia="仿宋_GB2312" w:cs="Times New Roman"/>
          <w:b/>
          <w:color w:val="000000"/>
          <w:sz w:val="32"/>
          <w:szCs w:val="32"/>
        </w:rPr>
        <w:t>信息公开工作提质增效。</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202</w:t>
      </w:r>
      <w:r>
        <w:rPr>
          <w:rFonts w:hint="default" w:ascii="Times New Roman" w:hAnsi="Times New Roman" w:eastAsia="仿宋_GB2312" w:cs="Times New Roman"/>
          <w:b/>
          <w:color w:val="000000"/>
          <w:sz w:val="32"/>
          <w:szCs w:val="32"/>
          <w:lang w:val="en-US" w:eastAsia="zh-CN"/>
        </w:rPr>
        <w:t>2</w:t>
      </w:r>
      <w:r>
        <w:rPr>
          <w:rFonts w:hint="default" w:ascii="Times New Roman" w:hAnsi="Times New Roman" w:eastAsia="仿宋_GB2312" w:cs="Times New Roman"/>
          <w:b/>
          <w:color w:val="000000"/>
          <w:sz w:val="32"/>
          <w:szCs w:val="32"/>
        </w:rPr>
        <w:t>年，曲阜市教育和体育局通过各类媒体平台发布信息共计</w:t>
      </w:r>
      <w:r>
        <w:rPr>
          <w:rFonts w:hint="default" w:ascii="Times New Roman" w:hAnsi="Times New Roman" w:eastAsia="仿宋_GB2312" w:cs="Times New Roman"/>
          <w:b/>
          <w:color w:val="000000"/>
          <w:sz w:val="32"/>
          <w:szCs w:val="32"/>
          <w:lang w:val="en-US" w:eastAsia="zh-CN"/>
        </w:rPr>
        <w:t>10</w:t>
      </w:r>
      <w:r>
        <w:rPr>
          <w:rFonts w:hint="eastAsia" w:eastAsia="仿宋_GB2312" w:cs="Times New Roman"/>
          <w:b/>
          <w:color w:val="000000"/>
          <w:sz w:val="32"/>
          <w:szCs w:val="32"/>
          <w:lang w:val="en-US" w:eastAsia="zh-CN"/>
        </w:rPr>
        <w:t>82</w:t>
      </w:r>
      <w:r>
        <w:rPr>
          <w:rFonts w:hint="default" w:ascii="Times New Roman" w:hAnsi="Times New Roman" w:eastAsia="仿宋_GB2312" w:cs="Times New Roman"/>
          <w:b/>
          <w:color w:val="000000"/>
          <w:sz w:val="32"/>
          <w:szCs w:val="32"/>
        </w:rPr>
        <w:t>条，其中通过曲阜市门户网站政务公开栏目主动公开各类政府信息</w:t>
      </w:r>
      <w:r>
        <w:rPr>
          <w:rFonts w:hint="default" w:ascii="Times New Roman" w:hAnsi="Times New Roman" w:eastAsia="仿宋_GB2312" w:cs="Times New Roman"/>
          <w:b/>
          <w:color w:val="000000"/>
          <w:sz w:val="32"/>
          <w:szCs w:val="32"/>
          <w:lang w:val="en-US" w:eastAsia="zh-CN"/>
        </w:rPr>
        <w:t>66</w:t>
      </w:r>
      <w:r>
        <w:rPr>
          <w:rFonts w:hint="eastAsia" w:eastAsia="仿宋_GB2312" w:cs="Times New Roman"/>
          <w:b/>
          <w:color w:val="000000"/>
          <w:sz w:val="32"/>
          <w:szCs w:val="32"/>
          <w:lang w:val="en-US" w:eastAsia="zh-CN"/>
        </w:rPr>
        <w:t>6</w:t>
      </w:r>
      <w:r>
        <w:rPr>
          <w:rFonts w:hint="default" w:ascii="Times New Roman" w:hAnsi="Times New Roman" w:eastAsia="仿宋_GB2312" w:cs="Times New Roman"/>
          <w:b/>
          <w:color w:val="000000"/>
          <w:sz w:val="32"/>
          <w:szCs w:val="32"/>
        </w:rPr>
        <w:t>条；通过网站子点发布各类信息</w:t>
      </w:r>
      <w:r>
        <w:rPr>
          <w:rFonts w:hint="default" w:ascii="Times New Roman" w:hAnsi="Times New Roman" w:eastAsia="仿宋_GB2312" w:cs="Times New Roman"/>
          <w:b/>
          <w:color w:val="000000"/>
          <w:sz w:val="32"/>
          <w:szCs w:val="32"/>
          <w:lang w:val="en-US" w:eastAsia="zh-CN"/>
        </w:rPr>
        <w:t>241</w:t>
      </w:r>
      <w:r>
        <w:rPr>
          <w:rFonts w:hint="default" w:ascii="Times New Roman" w:hAnsi="Times New Roman" w:eastAsia="仿宋_GB2312" w:cs="Times New Roman"/>
          <w:b/>
          <w:color w:val="000000"/>
          <w:sz w:val="32"/>
          <w:szCs w:val="32"/>
        </w:rPr>
        <w:t>条；通过微信公众号“曲阜教育”发布信息</w:t>
      </w:r>
      <w:r>
        <w:rPr>
          <w:rFonts w:hint="default" w:ascii="Times New Roman" w:hAnsi="Times New Roman" w:eastAsia="仿宋_GB2312" w:cs="Times New Roman"/>
          <w:b/>
          <w:color w:val="000000"/>
          <w:sz w:val="32"/>
          <w:szCs w:val="32"/>
          <w:lang w:val="en-US" w:eastAsia="zh-CN"/>
        </w:rPr>
        <w:t>175</w:t>
      </w:r>
      <w:r>
        <w:rPr>
          <w:rFonts w:hint="default" w:ascii="Times New Roman" w:hAnsi="Times New Roman" w:eastAsia="仿宋_GB2312" w:cs="Times New Roman"/>
          <w:b/>
          <w:color w:val="000000"/>
          <w:sz w:val="32"/>
          <w:szCs w:val="32"/>
        </w:rPr>
        <w:t>条。</w:t>
      </w: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lang w:eastAsia="zh-CN"/>
        </w:rPr>
        <w:drawing>
          <wp:anchor distT="0" distB="0" distL="114300" distR="114300" simplePos="0" relativeHeight="251659264" behindDoc="0" locked="0" layoutInCell="1" allowOverlap="1">
            <wp:simplePos x="0" y="0"/>
            <wp:positionH relativeFrom="column">
              <wp:posOffset>230505</wp:posOffset>
            </wp:positionH>
            <wp:positionV relativeFrom="paragraph">
              <wp:posOffset>221615</wp:posOffset>
            </wp:positionV>
            <wp:extent cx="5080000" cy="3810000"/>
            <wp:effectExtent l="4445" t="4445" r="20955" b="1460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100" w:rightChars="-5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100" w:rightChars="-50"/>
        <w:textAlignment w:val="auto"/>
        <w:rPr>
          <w:rFonts w:hint="eastAsia" w:ascii="Times New Roman" w:hAnsi="Times New Roman" w:eastAsia="方正仿宋简体" w:cs="Times New Roman"/>
          <w:b/>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在</w:t>
      </w:r>
      <w:r>
        <w:rPr>
          <w:rFonts w:hint="default" w:ascii="Times New Roman" w:hAnsi="Times New Roman" w:eastAsia="仿宋_GB2312" w:cs="Times New Roman"/>
          <w:b/>
          <w:bCs/>
          <w:sz w:val="32"/>
          <w:szCs w:val="32"/>
        </w:rPr>
        <w:t>公开内容上，在政府门户网站主动公开各类政府信息</w:t>
      </w:r>
      <w:r>
        <w:rPr>
          <w:rFonts w:hint="default" w:ascii="Times New Roman" w:hAnsi="Times New Roman" w:eastAsia="仿宋_GB2312" w:cs="Times New Roman"/>
          <w:b/>
          <w:bCs/>
          <w:sz w:val="32"/>
          <w:szCs w:val="32"/>
          <w:lang w:val="en-US" w:eastAsia="zh-CN"/>
        </w:rPr>
        <w:t>66</w:t>
      </w:r>
      <w:r>
        <w:rPr>
          <w:rFonts w:hint="eastAsia" w:eastAsia="仿宋_GB2312" w:cs="Times New Roman"/>
          <w:b/>
          <w:bCs/>
          <w:sz w:val="32"/>
          <w:szCs w:val="32"/>
          <w:lang w:val="en-US" w:eastAsia="zh-CN"/>
        </w:rPr>
        <w:t>6</w:t>
      </w:r>
      <w:r>
        <w:rPr>
          <w:rFonts w:hint="default" w:ascii="Times New Roman" w:hAnsi="Times New Roman" w:eastAsia="仿宋_GB2312" w:cs="Times New Roman"/>
          <w:b/>
          <w:bCs/>
          <w:sz w:val="32"/>
          <w:szCs w:val="32"/>
        </w:rPr>
        <w:t>条，其中</w:t>
      </w:r>
      <w:r>
        <w:rPr>
          <w:rFonts w:hint="default" w:ascii="Times New Roman" w:hAnsi="Times New Roman" w:eastAsia="仿宋_GB2312" w:cs="Times New Roman"/>
          <w:b/>
          <w:bCs/>
          <w:sz w:val="32"/>
          <w:szCs w:val="32"/>
          <w:lang w:val="en-US" w:eastAsia="zh-CN"/>
        </w:rPr>
        <w:t>机构职能4条</w:t>
      </w:r>
      <w:r>
        <w:rPr>
          <w:rFonts w:hint="default" w:ascii="Times New Roman" w:hAnsi="Times New Roman" w:eastAsia="仿宋_GB2312" w:cs="Times New Roman"/>
          <w:b/>
          <w:bCs/>
          <w:sz w:val="32"/>
          <w:szCs w:val="32"/>
          <w:lang w:eastAsia="zh-CN"/>
        </w:rPr>
        <w:t>；政策解读</w:t>
      </w:r>
      <w:r>
        <w:rPr>
          <w:rFonts w:hint="eastAsia" w:eastAsia="仿宋_GB2312" w:cs="Times New Roman"/>
          <w:b/>
          <w:bCs/>
          <w:sz w:val="32"/>
          <w:szCs w:val="32"/>
          <w:lang w:val="en-US" w:eastAsia="zh-CN"/>
        </w:rPr>
        <w:t>8</w:t>
      </w:r>
      <w:r>
        <w:rPr>
          <w:rFonts w:hint="default" w:ascii="Times New Roman" w:hAnsi="Times New Roman" w:eastAsia="仿宋_GB2312" w:cs="Times New Roman"/>
          <w:b/>
          <w:bCs/>
          <w:sz w:val="32"/>
          <w:szCs w:val="32"/>
          <w:lang w:val="en-US" w:eastAsia="zh-CN"/>
        </w:rPr>
        <w:t>条</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财政信息6条；行政执法信息19条；建议提案办理8条；“双随机一公开”监管信息9条；政务公开专栏教育卫生栏目，学生、教师管理信息共计49条；公共企事业单位信息共计550条；其他信息</w:t>
      </w:r>
      <w:r>
        <w:rPr>
          <w:rFonts w:hint="eastAsia" w:eastAsia="仿宋_GB2312" w:cs="Times New Roman"/>
          <w:b/>
          <w:bCs/>
          <w:sz w:val="32"/>
          <w:szCs w:val="32"/>
          <w:lang w:val="en-US" w:eastAsia="zh-CN"/>
        </w:rPr>
        <w:t>13</w:t>
      </w:r>
      <w:r>
        <w:rPr>
          <w:rFonts w:hint="default" w:ascii="Times New Roman" w:hAnsi="Times New Roman" w:eastAsia="仿宋_GB2312" w:cs="Times New Roman"/>
          <w:b/>
          <w:bCs/>
          <w:sz w:val="32"/>
          <w:szCs w:val="32"/>
          <w:lang w:val="en-US" w:eastAsia="zh-CN"/>
        </w:rPr>
        <w:t>条</w:t>
      </w:r>
      <w:r>
        <w:rPr>
          <w:rFonts w:hint="default" w:ascii="Times New Roman" w:hAnsi="Times New Roman" w:eastAsia="仿宋_GB2312"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drawing>
          <wp:anchor distT="0" distB="0" distL="114300" distR="114300" simplePos="0" relativeHeight="251660288" behindDoc="0" locked="0" layoutInCell="1" allowOverlap="1">
            <wp:simplePos x="0" y="0"/>
            <wp:positionH relativeFrom="column">
              <wp:posOffset>303530</wp:posOffset>
            </wp:positionH>
            <wp:positionV relativeFrom="paragraph">
              <wp:posOffset>163195</wp:posOffset>
            </wp:positionV>
            <wp:extent cx="5080000" cy="3810000"/>
            <wp:effectExtent l="4445" t="4445" r="20955" b="1460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（二）依申请公开情况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22</w:t>
      </w:r>
      <w:r>
        <w:rPr>
          <w:rFonts w:hint="default" w:ascii="Times New Roman" w:hAnsi="Times New Roman" w:eastAsia="仿宋_GB2312" w:cs="Times New Roman"/>
          <w:b/>
          <w:bCs/>
          <w:sz w:val="32"/>
          <w:szCs w:val="32"/>
        </w:rPr>
        <w:t>年，</w:t>
      </w:r>
      <w:r>
        <w:rPr>
          <w:rFonts w:hint="default" w:ascii="Times New Roman" w:hAnsi="Times New Roman" w:eastAsia="仿宋_GB2312" w:cs="Times New Roman"/>
          <w:b/>
          <w:bCs/>
          <w:sz w:val="32"/>
          <w:szCs w:val="32"/>
          <w:lang w:eastAsia="zh-CN"/>
        </w:rPr>
        <w:t>我局</w:t>
      </w:r>
      <w:r>
        <w:rPr>
          <w:rFonts w:hint="default" w:ascii="Times New Roman" w:hAnsi="Times New Roman" w:eastAsia="仿宋_GB2312" w:cs="Times New Roman"/>
          <w:b/>
          <w:bCs/>
          <w:sz w:val="32"/>
          <w:szCs w:val="32"/>
        </w:rPr>
        <w:t>共收到政府信息公开申请</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eastAsia="zh-CN"/>
        </w:rPr>
        <w:t>较上年收到申请件数量减少了</w:t>
      </w:r>
      <w:r>
        <w:rPr>
          <w:rFonts w:hint="default" w:ascii="Times New Roman" w:hAnsi="Times New Roman" w:eastAsia="仿宋_GB2312" w:cs="Times New Roman"/>
          <w:b/>
          <w:bCs/>
          <w:sz w:val="32"/>
          <w:szCs w:val="32"/>
          <w:lang w:val="en-US" w:eastAsia="zh-CN"/>
        </w:rPr>
        <w:t>67%。申请人申请公开内容为公开曲阜东方学校基本情况、招生、录取、学校规划计划等相关信息。我局按照管理权限在规定时限内进行了回复</w:t>
      </w:r>
      <w:r>
        <w:rPr>
          <w:rFonts w:hint="eastAsia" w:eastAsia="仿宋_GB2312" w:cs="Times New Roman"/>
          <w:b/>
          <w:bCs/>
          <w:sz w:val="32"/>
          <w:szCs w:val="32"/>
          <w:lang w:val="en-US" w:eastAsia="zh-CN"/>
        </w:rPr>
        <w:t>，</w:t>
      </w:r>
      <w:r>
        <w:rPr>
          <w:rFonts w:hint="default" w:ascii="Times New Roman" w:hAnsi="Times New Roman" w:eastAsia="仿宋_GB2312" w:cs="Times New Roman"/>
          <w:b/>
          <w:bCs/>
          <w:sz w:val="32"/>
          <w:szCs w:val="32"/>
        </w:rPr>
        <w:t>未向申请人收取任何费用。本年度，未收到以政府信息公开为由提起的行政复议和行政诉讼。</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eastAsia" w:ascii="楷体_GB2312" w:hAnsi="楷体_GB2312" w:eastAsia="楷体_GB2312" w:cs="楷体_GB2312"/>
          <w:b/>
          <w:color w:val="000000"/>
          <w:sz w:val="32"/>
          <w:szCs w:val="32"/>
        </w:rPr>
        <w:t>（三）政府信息管理情况</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进一步健全政府信息发布机制、公开审查机制和动态调整机制，严把政治关、法律关、保密关、程序关、时效关，确保发布的政府信息合法、真实、准确、及时。结合</w:t>
      </w:r>
      <w:r>
        <w:rPr>
          <w:rFonts w:hint="default" w:ascii="Times New Roman" w:hAnsi="Times New Roman" w:eastAsia="仿宋_GB2312" w:cs="Times New Roman"/>
          <w:b/>
          <w:color w:val="000000"/>
          <w:sz w:val="32"/>
          <w:szCs w:val="32"/>
          <w:lang w:eastAsia="zh-CN"/>
        </w:rPr>
        <w:t>教育</w:t>
      </w:r>
      <w:r>
        <w:rPr>
          <w:rFonts w:hint="default" w:ascii="Times New Roman" w:hAnsi="Times New Roman" w:eastAsia="仿宋_GB2312" w:cs="Times New Roman"/>
          <w:b/>
          <w:color w:val="000000"/>
          <w:sz w:val="32"/>
          <w:szCs w:val="32"/>
        </w:rPr>
        <w:t>工作重点，不断完善政府信息主动公开目录，并根据职责变化及时进行动态更新调整。</w:t>
      </w:r>
      <w:r>
        <w:rPr>
          <w:rFonts w:hint="default" w:ascii="Times New Roman" w:hAnsi="Times New Roman" w:eastAsia="仿宋_GB2312" w:cs="Times New Roman"/>
          <w:b/>
          <w:color w:val="000000"/>
          <w:sz w:val="32"/>
          <w:szCs w:val="32"/>
          <w:lang w:eastAsia="zh-CN"/>
        </w:rPr>
        <w:t>不断优化突出关键字</w:t>
      </w:r>
      <w:r>
        <w:rPr>
          <w:rFonts w:hint="default" w:ascii="Times New Roman" w:hAnsi="Times New Roman" w:eastAsia="仿宋_GB2312" w:cs="Times New Roman"/>
          <w:b/>
          <w:color w:val="000000"/>
          <w:sz w:val="32"/>
          <w:szCs w:val="32"/>
        </w:rPr>
        <w:t>，提高信息检索的便捷性和精确度，更加方便群众查阅相关信息。</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（四）政府信息公开平台建设情况</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依托“中国·</w:t>
      </w:r>
      <w:r>
        <w:rPr>
          <w:rFonts w:hint="default" w:ascii="Times New Roman" w:hAnsi="Times New Roman" w:eastAsia="仿宋_GB2312" w:cs="Times New Roman"/>
          <w:b/>
          <w:color w:val="000000"/>
          <w:sz w:val="32"/>
          <w:szCs w:val="32"/>
          <w:lang w:val="en-US" w:eastAsia="zh-CN"/>
        </w:rPr>
        <w:t>曲阜</w:t>
      </w:r>
      <w:r>
        <w:rPr>
          <w:rFonts w:hint="default" w:ascii="Times New Roman" w:hAnsi="Times New Roman" w:eastAsia="仿宋_GB2312" w:cs="Times New Roman"/>
          <w:b/>
          <w:color w:val="000000"/>
          <w:sz w:val="32"/>
          <w:szCs w:val="32"/>
        </w:rPr>
        <w:t>”政府门户网站“</w:t>
      </w:r>
      <w:r>
        <w:rPr>
          <w:rFonts w:hint="default" w:ascii="Times New Roman" w:hAnsi="Times New Roman" w:eastAsia="仿宋_GB2312" w:cs="Times New Roman"/>
          <w:b/>
          <w:color w:val="000000"/>
          <w:sz w:val="32"/>
          <w:szCs w:val="32"/>
          <w:lang w:eastAsia="zh-CN"/>
        </w:rPr>
        <w:t>教育卫生</w:t>
      </w:r>
      <w:r>
        <w:rPr>
          <w:rFonts w:hint="default" w:ascii="Times New Roman" w:hAnsi="Times New Roman" w:eastAsia="仿宋_GB2312" w:cs="Times New Roman"/>
          <w:b/>
          <w:color w:val="000000"/>
          <w:sz w:val="32"/>
          <w:szCs w:val="32"/>
        </w:rPr>
        <w:t>”专栏发布我</w:t>
      </w:r>
      <w:r>
        <w:rPr>
          <w:rFonts w:hint="eastAsia" w:eastAsia="仿宋_GB2312" w:cs="Times New Roman"/>
          <w:b/>
          <w:color w:val="000000"/>
          <w:sz w:val="32"/>
          <w:szCs w:val="32"/>
          <w:lang w:eastAsia="zh-CN"/>
        </w:rPr>
        <w:t>市</w:t>
      </w:r>
      <w:r>
        <w:rPr>
          <w:rFonts w:hint="default" w:ascii="Times New Roman" w:hAnsi="Times New Roman" w:eastAsia="仿宋_GB2312" w:cs="Times New Roman"/>
          <w:b/>
          <w:color w:val="000000"/>
          <w:sz w:val="32"/>
          <w:szCs w:val="32"/>
        </w:rPr>
        <w:t>义务教育领域教育概况、民办学校信息、财务信息、招生管理等相关信息</w:t>
      </w:r>
      <w:r>
        <w:rPr>
          <w:rFonts w:hint="default" w:ascii="Times New Roman" w:hAnsi="Times New Roman" w:eastAsia="仿宋_GB2312" w:cs="Times New Roman"/>
          <w:b/>
          <w:color w:val="000000"/>
          <w:sz w:val="32"/>
          <w:szCs w:val="32"/>
          <w:lang w:eastAsia="zh-CN"/>
        </w:rPr>
        <w:t>共计</w:t>
      </w:r>
      <w:r>
        <w:rPr>
          <w:rFonts w:hint="default" w:ascii="Times New Roman" w:hAnsi="Times New Roman" w:eastAsia="仿宋_GB2312" w:cs="Times New Roman"/>
          <w:b/>
          <w:color w:val="000000"/>
          <w:sz w:val="32"/>
          <w:szCs w:val="32"/>
          <w:lang w:val="en-US" w:eastAsia="zh-CN"/>
        </w:rPr>
        <w:t>49条</w:t>
      </w:r>
      <w:r>
        <w:rPr>
          <w:rFonts w:hint="default" w:ascii="Times New Roman" w:hAnsi="Times New Roman" w:eastAsia="仿宋_GB2312" w:cs="Times New Roman"/>
          <w:b/>
          <w:color w:val="000000"/>
          <w:sz w:val="32"/>
          <w:szCs w:val="32"/>
        </w:rPr>
        <w:t>，在“公共企事业单位信息公开”专栏发布我</w:t>
      </w:r>
      <w:r>
        <w:rPr>
          <w:rFonts w:hint="default" w:ascii="Times New Roman" w:hAnsi="Times New Roman" w:eastAsia="仿宋_GB2312" w:cs="Times New Roman"/>
          <w:b/>
          <w:color w:val="000000"/>
          <w:sz w:val="32"/>
          <w:szCs w:val="32"/>
          <w:lang w:eastAsia="zh-CN"/>
        </w:rPr>
        <w:t>市市</w:t>
      </w:r>
      <w:r>
        <w:rPr>
          <w:rFonts w:hint="default" w:ascii="Times New Roman" w:hAnsi="Times New Roman" w:eastAsia="仿宋_GB2312" w:cs="Times New Roman"/>
          <w:b/>
          <w:color w:val="000000"/>
          <w:sz w:val="32"/>
          <w:szCs w:val="32"/>
        </w:rPr>
        <w:t>直中小学机构</w:t>
      </w:r>
      <w:r>
        <w:rPr>
          <w:rFonts w:hint="default" w:ascii="Times New Roman" w:hAnsi="Times New Roman" w:eastAsia="仿宋_GB2312" w:cs="Times New Roman"/>
          <w:b/>
          <w:color w:val="000000"/>
          <w:sz w:val="32"/>
          <w:szCs w:val="32"/>
          <w:lang w:eastAsia="zh-CN"/>
        </w:rPr>
        <w:t>概况</w:t>
      </w:r>
      <w:r>
        <w:rPr>
          <w:rFonts w:hint="default" w:ascii="Times New Roman" w:hAnsi="Times New Roman" w:eastAsia="仿宋_GB2312" w:cs="Times New Roman"/>
          <w:b/>
          <w:color w:val="000000"/>
          <w:sz w:val="32"/>
          <w:szCs w:val="32"/>
        </w:rPr>
        <w:t>、规划计划、招生管理、财务管理等相关信息</w:t>
      </w:r>
      <w:r>
        <w:rPr>
          <w:rFonts w:hint="default" w:ascii="Times New Roman" w:hAnsi="Times New Roman" w:eastAsia="仿宋_GB2312" w:cs="Times New Roman"/>
          <w:b/>
          <w:color w:val="000000"/>
          <w:sz w:val="32"/>
          <w:szCs w:val="32"/>
          <w:lang w:eastAsia="zh-CN"/>
        </w:rPr>
        <w:t>共计</w:t>
      </w:r>
      <w:r>
        <w:rPr>
          <w:rFonts w:hint="default" w:ascii="Times New Roman" w:hAnsi="Times New Roman" w:eastAsia="仿宋_GB2312" w:cs="Times New Roman"/>
          <w:b/>
          <w:color w:val="000000"/>
          <w:sz w:val="32"/>
          <w:szCs w:val="32"/>
          <w:lang w:val="en-US" w:eastAsia="zh-CN"/>
        </w:rPr>
        <w:t>550条</w:t>
      </w:r>
      <w:r>
        <w:rPr>
          <w:rFonts w:hint="default" w:ascii="Times New Roman" w:hAnsi="Times New Roman" w:eastAsia="仿宋_GB2312" w:cs="Times New Roman"/>
          <w:b/>
          <w:color w:val="000000"/>
          <w:sz w:val="32"/>
          <w:szCs w:val="32"/>
        </w:rPr>
        <w:t>。有序推动新媒体发展，逐步理顺了门户网站与政务微信和新闻网站等媒体之间的协同联动机制，确保信息准确畅通，方便群众办事。</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（五）监督保障情况</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认真做好</w:t>
      </w:r>
      <w:r>
        <w:rPr>
          <w:rFonts w:hint="eastAsia" w:ascii="仿宋_GB2312" w:hAnsi="仿宋_GB2312" w:eastAsia="仿宋_GB2312" w:cs="仿宋_GB2312"/>
          <w:b/>
          <w:color w:val="000000"/>
          <w:sz w:val="32"/>
          <w:szCs w:val="32"/>
          <w:lang w:eastAsia="zh-CN"/>
        </w:rPr>
        <w:t>工作人员</w:t>
      </w:r>
      <w:r>
        <w:rPr>
          <w:rFonts w:hint="eastAsia" w:ascii="仿宋_GB2312" w:hAnsi="仿宋_GB2312" w:eastAsia="仿宋_GB2312" w:cs="仿宋_GB2312"/>
          <w:b/>
          <w:color w:val="000000"/>
          <w:sz w:val="32"/>
          <w:szCs w:val="32"/>
        </w:rPr>
        <w:t>业务培训、日常考核和</w:t>
      </w:r>
      <w:r>
        <w:rPr>
          <w:rFonts w:hint="eastAsia" w:ascii="仿宋_GB2312" w:hAnsi="仿宋_GB2312" w:eastAsia="仿宋_GB2312" w:cs="仿宋_GB2312"/>
          <w:b/>
          <w:color w:val="000000"/>
          <w:sz w:val="32"/>
          <w:szCs w:val="32"/>
          <w:lang w:eastAsia="zh-CN"/>
        </w:rPr>
        <w:t>问题</w:t>
      </w:r>
      <w:r>
        <w:rPr>
          <w:rFonts w:hint="eastAsia" w:ascii="仿宋_GB2312" w:hAnsi="仿宋_GB2312" w:eastAsia="仿宋_GB2312" w:cs="仿宋_GB2312"/>
          <w:b/>
          <w:color w:val="000000"/>
          <w:sz w:val="32"/>
          <w:szCs w:val="32"/>
        </w:rPr>
        <w:t>整改</w:t>
      </w:r>
      <w:r>
        <w:rPr>
          <w:rFonts w:hint="eastAsia" w:ascii="仿宋_GB2312" w:hAnsi="仿宋_GB2312" w:eastAsia="仿宋_GB2312" w:cs="仿宋_GB2312"/>
          <w:b/>
          <w:color w:val="000000"/>
          <w:sz w:val="32"/>
          <w:szCs w:val="32"/>
          <w:lang w:eastAsia="zh-CN"/>
        </w:rPr>
        <w:t>工作，进一步提升各部门做好政务公开工作的责任意识。</w:t>
      </w:r>
      <w:r>
        <w:rPr>
          <w:rFonts w:hint="eastAsia" w:ascii="仿宋_GB2312" w:hAnsi="仿宋_GB2312" w:eastAsia="仿宋_GB2312" w:cs="仿宋_GB2312"/>
          <w:b/>
          <w:color w:val="000000"/>
          <w:sz w:val="32"/>
          <w:szCs w:val="32"/>
        </w:rPr>
        <w:t>建立和完善政府信息公开监督制度</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主动公布咨询、监督投诉电话</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接受有关部门、新闻媒体、广大群众的监督检查。</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黑体简体" w:cs="Times New Roman"/>
          <w:b/>
          <w:color w:val="000000"/>
          <w:sz w:val="32"/>
          <w:szCs w:val="32"/>
        </w:rPr>
      </w:pPr>
      <w:r>
        <w:rPr>
          <w:rFonts w:hint="eastAsia" w:ascii="黑体" w:hAnsi="黑体" w:eastAsia="黑体" w:cs="黑体"/>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b/>
                <w:sz w:val="24"/>
              </w:rPr>
            </w:pPr>
            <w:r>
              <w:rPr>
                <w:rFonts w:hint="default" w:ascii="Times New Roman" w:hAnsi="Times New Roman" w:eastAsia="方正黑体简体" w:cs="Times New Roman"/>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本年制发件数</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本年废止件数</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规章</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行政规范性文件</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行政许可</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行政处罚</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行政强制</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行政事业性收费</w:t>
            </w:r>
          </w:p>
        </w:tc>
        <w:tc>
          <w:tcPr>
            <w:tcW w:w="6338" w:type="dxa"/>
            <w:gridSpan w:val="3"/>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57.695282</w:t>
            </w:r>
          </w:p>
        </w:tc>
      </w:tr>
    </w:tbl>
    <w:p>
      <w:pPr>
        <w:keepNext w:val="0"/>
        <w:keepLines w:val="0"/>
        <w:pageBreakBefore w:val="0"/>
        <w:kinsoku/>
        <w:wordWrap/>
        <w:overflowPunct/>
        <w:topLinePunct w:val="0"/>
        <w:autoSpaceDE/>
        <w:autoSpaceDN/>
        <w:bidi w:val="0"/>
        <w:adjustRightInd/>
        <w:snapToGrid/>
        <w:spacing w:before="62" w:beforeLines="10" w:after="62" w:afterLines="10" w:line="560" w:lineRule="exact"/>
        <w:ind w:firstLine="640"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1</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1</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1</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bl>
    <w:p>
      <w:pPr>
        <w:keepNext w:val="0"/>
        <w:keepLines w:val="0"/>
        <w:pageBreakBefore w:val="0"/>
        <w:numPr>
          <w:ilvl w:val="0"/>
          <w:numId w:val="1"/>
        </w:numPr>
        <w:kinsoku/>
        <w:wordWrap/>
        <w:overflowPunct/>
        <w:topLinePunct w:val="0"/>
        <w:autoSpaceDE/>
        <w:autoSpaceDN/>
        <w:bidi w:val="0"/>
        <w:adjustRightInd/>
        <w:snapToGrid/>
        <w:spacing w:line="560" w:lineRule="exact"/>
        <w:ind w:right="-100" w:rightChars="-50"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政府信息公开行政复议、行政诉讼情况</w:t>
      </w:r>
    </w:p>
    <w:tbl>
      <w:tblPr>
        <w:tblStyle w:val="3"/>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654"/>
        <w:gridCol w:w="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行政复议</w:t>
            </w:r>
          </w:p>
        </w:tc>
        <w:tc>
          <w:tcPr>
            <w:tcW w:w="6097" w:type="dxa"/>
            <w:gridSpan w:val="1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结果维持</w:t>
            </w:r>
          </w:p>
        </w:tc>
        <w:tc>
          <w:tcPr>
            <w:tcW w:w="62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lang w:bidi="ar"/>
              </w:rPr>
            </w:pPr>
            <w:r>
              <w:rPr>
                <w:rFonts w:hint="default" w:ascii="Times New Roman" w:hAnsi="Times New Roman" w:eastAsia="方正黑体简体" w:cs="Times New Roman"/>
                <w:sz w:val="21"/>
                <w:szCs w:val="21"/>
                <w:lang w:bidi="ar"/>
              </w:rPr>
              <w:t>结果</w:t>
            </w:r>
          </w:p>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00"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9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6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3010"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未经复议直接起诉</w:t>
            </w:r>
          </w:p>
        </w:tc>
        <w:tc>
          <w:tcPr>
            <w:tcW w:w="3087"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0" w:leftChars="-20" w:right="-40" w:rightChars="-20"/>
              <w:textAlignment w:val="auto"/>
              <w:rPr>
                <w:rFonts w:hint="default" w:ascii="Times New Roman" w:hAnsi="Times New Roman" w:eastAsia="方正黑体简体" w:cs="Times New Roman"/>
                <w:sz w:val="21"/>
                <w:szCs w:val="21"/>
              </w:rPr>
            </w:pPr>
          </w:p>
        </w:tc>
        <w:tc>
          <w:tcPr>
            <w:tcW w:w="62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0" w:leftChars="-20" w:right="-40" w:rightChars="-20"/>
              <w:textAlignment w:val="auto"/>
              <w:rPr>
                <w:rFonts w:hint="default" w:ascii="Times New Roman" w:hAnsi="Times New Roman" w:eastAsia="方正黑体简体" w:cs="Times New Roman"/>
                <w:sz w:val="21"/>
                <w:szCs w:val="21"/>
              </w:rPr>
            </w:pPr>
          </w:p>
        </w:tc>
        <w:tc>
          <w:tcPr>
            <w:tcW w:w="600"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0" w:leftChars="-20" w:right="-40" w:rightChars="-20"/>
              <w:textAlignment w:val="auto"/>
              <w:rPr>
                <w:rFonts w:hint="default" w:ascii="Times New Roman" w:hAnsi="Times New Roman" w:eastAsia="方正黑体简体" w:cs="Times New Roman"/>
                <w:sz w:val="21"/>
                <w:szCs w:val="21"/>
              </w:rPr>
            </w:pPr>
          </w:p>
        </w:tc>
        <w:tc>
          <w:tcPr>
            <w:tcW w:w="59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0" w:leftChars="-20" w:right="-40" w:rightChars="-20"/>
              <w:textAlignment w:val="auto"/>
              <w:rPr>
                <w:rFonts w:hint="default" w:ascii="Times New Roman" w:hAnsi="Times New Roman" w:eastAsia="方正黑体简体" w:cs="Times New Roman"/>
                <w:sz w:val="21"/>
                <w:szCs w:val="21"/>
              </w:rPr>
            </w:pPr>
          </w:p>
        </w:tc>
        <w:tc>
          <w:tcPr>
            <w:tcW w:w="46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40" w:leftChars="-20" w:right="-40" w:rightChars="-20"/>
              <w:textAlignment w:val="auto"/>
              <w:rPr>
                <w:rFonts w:hint="default" w:ascii="Times New Roman" w:hAnsi="Times New Roman" w:eastAsia="方正黑体简体" w:cs="Times New Roman"/>
                <w:sz w:val="21"/>
                <w:szCs w:val="21"/>
              </w:rPr>
            </w:pP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63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2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65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8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2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59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46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3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42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54"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48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40" w:leftChars="-20" w:right="-40" w:rightChars="-20"/>
              <w:jc w:val="center"/>
              <w:textAlignment w:val="auto"/>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r>
    </w:tbl>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五、存在的主要问题及改进情况</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2022年，我局政府信息公开工作取得了一定成效，但仍存在一些不足，具体表现在：一是政府信息公开工作人员对此项工作重要性的认识有待进一步提高；二是对依申请公开范围的界定和信息公开的范围把握有待进一步探索；三是规范性文件政策解读形式不够丰富。下一步，我局将从以下几个方面对以上问题进行改进：</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一是提高各</w:t>
      </w:r>
      <w:r>
        <w:rPr>
          <w:rFonts w:hint="default" w:ascii="Times New Roman" w:hAnsi="Times New Roman" w:eastAsia="仿宋_GB2312" w:cs="Times New Roman"/>
          <w:b/>
          <w:sz w:val="32"/>
          <w:szCs w:val="32"/>
          <w:lang w:eastAsia="zh-CN"/>
        </w:rPr>
        <w:t>科室</w:t>
      </w:r>
      <w:r>
        <w:rPr>
          <w:rFonts w:hint="default" w:ascii="Times New Roman" w:hAnsi="Times New Roman" w:eastAsia="仿宋_GB2312" w:cs="Times New Roman"/>
          <w:b/>
          <w:sz w:val="32"/>
          <w:szCs w:val="32"/>
        </w:rPr>
        <w:t>对政府信息公开工作的重视力度，加强政务公开队伍建设，积极组织培训学习。进一步明确信息公开工作人员的岗位职责要求，完善政务公开工作机制，注重实效，不断提高政府信息公开工作人员的业务素质和能力水平。</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lang w:eastAsia="zh-CN"/>
        </w:rPr>
        <w:t>二是通过多种形式在全机关开展《政府信息公开条例》及省市各级有关政府信息公开管理的文件精神，确保各科室在工作当中，重点留存好主动公开及依申请公开信息档案，以备考核及回复依申请公开信件之用。</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仿宋_GB2312" w:cs="Times New Roman"/>
          <w:b/>
          <w:sz w:val="32"/>
          <w:szCs w:val="32"/>
          <w:lang w:eastAsia="zh-CN"/>
        </w:rPr>
        <w:t>三</w:t>
      </w:r>
      <w:r>
        <w:rPr>
          <w:rFonts w:hint="default" w:ascii="Times New Roman" w:hAnsi="Times New Roman" w:eastAsia="仿宋_GB2312" w:cs="Times New Roman"/>
          <w:b/>
          <w:sz w:val="32"/>
          <w:szCs w:val="32"/>
        </w:rPr>
        <w:t>是从解读质量、解读实效、解读形式和发布渠道等多个角度全面提高政策解读工作，创新解读传播形式，积极采用图文、音频视频等形式进行解读。</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六、其他需要报告的事项</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（一）依据《政府信息公开信息处理费管理办法》收取信息处理费的情况</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lang w:eastAsia="zh-CN"/>
        </w:rPr>
        <w:t>本年度我局无收取信息处理费的情况。</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（二）落实上级年度政务公开工作要点情况</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2022年，我局认真贯彻落实《政府信息公开条例》及省市各级政府信息公开工作要点要求，将政府信息公开工作作为建设法治政府、推进依法行政的重要举措，不断扩大公开范围、细化公开内容、创新公开方式、拓宽公开渠道、提高公开水平，全面完成了年度政府信息公开各项目标任务。</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w:t>
      </w:r>
      <w:r>
        <w:rPr>
          <w:rFonts w:hint="eastAsia" w:ascii="楷体_GB2312" w:hAnsi="楷体_GB2312" w:eastAsia="楷体_GB2312" w:cs="楷体_GB2312"/>
          <w:b/>
          <w:sz w:val="32"/>
          <w:szCs w:val="32"/>
          <w:lang w:eastAsia="zh-CN"/>
        </w:rPr>
        <w:t>人</w:t>
      </w:r>
      <w:bookmarkStart w:id="0" w:name="_GoBack"/>
      <w:bookmarkEnd w:id="0"/>
      <w:r>
        <w:rPr>
          <w:rFonts w:hint="eastAsia" w:ascii="楷体_GB2312" w:hAnsi="楷体_GB2312" w:eastAsia="楷体_GB2312" w:cs="楷体_GB2312"/>
          <w:b/>
          <w:spacing w:val="-11"/>
          <w:sz w:val="32"/>
          <w:szCs w:val="32"/>
        </w:rPr>
        <w:t>大代表建议和政协提案办理结果公开情况</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bCs/>
          <w:sz w:val="32"/>
          <w:szCs w:val="32"/>
          <w:lang w:val="en-US" w:eastAsia="zh-CN"/>
        </w:rPr>
        <w:t>规范</w:t>
      </w:r>
      <w:r>
        <w:rPr>
          <w:rFonts w:hint="default" w:ascii="Times New Roman" w:hAnsi="Times New Roman" w:eastAsia="仿宋_GB2312" w:cs="Times New Roman"/>
          <w:b/>
          <w:bCs/>
          <w:sz w:val="32"/>
          <w:szCs w:val="32"/>
        </w:rPr>
        <w:t>人大代表建议、政协委员提案办理</w:t>
      </w:r>
      <w:r>
        <w:rPr>
          <w:rFonts w:hint="default" w:ascii="Times New Roman" w:hAnsi="Times New Roman" w:eastAsia="仿宋_GB2312" w:cs="Times New Roman"/>
          <w:b/>
          <w:bCs/>
          <w:sz w:val="32"/>
          <w:szCs w:val="32"/>
          <w:lang w:val="en-US" w:eastAsia="zh-CN"/>
        </w:rPr>
        <w:t>结果公开。主</w:t>
      </w:r>
      <w:r>
        <w:rPr>
          <w:rFonts w:hint="default" w:ascii="Times New Roman" w:hAnsi="Times New Roman" w:eastAsia="仿宋_GB2312" w:cs="Times New Roman"/>
          <w:b/>
          <w:bCs/>
          <w:sz w:val="32"/>
          <w:szCs w:val="32"/>
        </w:rPr>
        <w:t>动加强与人大代表和政协委员的沟通交流，提高服务意识，自觉接受人大依法监督和政协民主监督</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22</w:t>
      </w:r>
      <w:r>
        <w:rPr>
          <w:rFonts w:hint="default" w:ascii="Times New Roman" w:hAnsi="Times New Roman" w:eastAsia="仿宋_GB2312" w:cs="Times New Roman"/>
          <w:b/>
          <w:bCs/>
          <w:sz w:val="32"/>
          <w:szCs w:val="32"/>
        </w:rPr>
        <w:t>年共办理人大</w:t>
      </w:r>
      <w:r>
        <w:rPr>
          <w:rFonts w:hint="default" w:ascii="Times New Roman" w:hAnsi="Times New Roman" w:eastAsia="仿宋_GB2312" w:cs="Times New Roman"/>
          <w:b/>
          <w:bCs/>
          <w:sz w:val="32"/>
          <w:szCs w:val="32"/>
          <w:lang w:val="en-US" w:eastAsia="zh-CN"/>
        </w:rPr>
        <w:t>建议</w:t>
      </w:r>
      <w:r>
        <w:rPr>
          <w:rFonts w:hint="default" w:ascii="Times New Roman" w:hAnsi="Times New Roman" w:eastAsia="仿宋_GB2312" w:cs="Times New Roman"/>
          <w:b/>
          <w:bCs/>
          <w:sz w:val="32"/>
          <w:szCs w:val="32"/>
        </w:rPr>
        <w:t>、政协提案</w:t>
      </w: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件，内容涉及优化教育资源、学校规划建设、</w:t>
      </w:r>
      <w:r>
        <w:rPr>
          <w:rFonts w:hint="default" w:ascii="Times New Roman" w:hAnsi="Times New Roman" w:eastAsia="仿宋_GB2312" w:cs="Times New Roman"/>
          <w:b/>
          <w:bCs/>
          <w:sz w:val="32"/>
          <w:szCs w:val="32"/>
          <w:lang w:val="en-US" w:eastAsia="zh-CN"/>
        </w:rPr>
        <w:t>校园安全</w:t>
      </w:r>
      <w:r>
        <w:rPr>
          <w:rFonts w:hint="default" w:ascii="Times New Roman" w:hAnsi="Times New Roman" w:eastAsia="仿宋_GB2312" w:cs="Times New Roman"/>
          <w:b/>
          <w:bCs/>
          <w:sz w:val="32"/>
          <w:szCs w:val="32"/>
        </w:rPr>
        <w:t>等社会关注的焦点、热点、难点问题</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我局</w:t>
      </w:r>
      <w:r>
        <w:rPr>
          <w:rFonts w:hint="default" w:ascii="Times New Roman" w:hAnsi="Times New Roman" w:eastAsia="仿宋_GB2312" w:cs="Times New Roman"/>
          <w:b/>
          <w:bCs/>
          <w:sz w:val="32"/>
          <w:szCs w:val="32"/>
        </w:rPr>
        <w:t>及时</w:t>
      </w:r>
      <w:r>
        <w:rPr>
          <w:rFonts w:hint="default" w:ascii="Times New Roman" w:hAnsi="Times New Roman" w:eastAsia="仿宋_GB2312" w:cs="Times New Roman"/>
          <w:b/>
          <w:bCs/>
          <w:sz w:val="32"/>
          <w:szCs w:val="32"/>
          <w:lang w:val="en-US" w:eastAsia="zh-CN"/>
        </w:rPr>
        <w:t>作出回复并</w:t>
      </w:r>
      <w:r>
        <w:rPr>
          <w:rFonts w:hint="default" w:ascii="Times New Roman" w:hAnsi="Times New Roman" w:eastAsia="仿宋_GB2312" w:cs="Times New Roman"/>
          <w:b/>
          <w:bCs/>
          <w:sz w:val="32"/>
          <w:szCs w:val="32"/>
        </w:rPr>
        <w:t>在建议提案办理栏目公开答复意见。</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（四）年度政务公开工作创新情况</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rPr>
        <w:t>围绕群众需求，创新工作模式。本着“公开理念要强化，事项梳理要下沉，公开方式要拓宽，制度设计要闭合”的总体要求，积极应用“线上加线下，网络加实体，主动加互动”的工作模式，紧紧围绕“群众实际需求”，广泛采取“群众看得到、听得懂、易获取、能监督、好参与”的工作举措，推进政务公开工作深入开展</w:t>
      </w:r>
      <w:r>
        <w:rPr>
          <w:rFonts w:hint="default" w:ascii="Times New Roman" w:hAnsi="Times New Roman" w:eastAsia="仿宋_GB2312" w:cs="Times New Roman"/>
          <w:b/>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（五）数据统计需要说明的事项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本年度报告中所列数据统计期限从2022年1月1日到12月31日止。</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（六）本行政机关认为需要报告的其他事项</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（七）其他有关文件专门要求通过政府信息公开工作年度报告予以报告的事项</w:t>
      </w:r>
    </w:p>
    <w:p>
      <w:pPr>
        <w:keepNext w:val="0"/>
        <w:keepLines w:val="0"/>
        <w:pageBreakBefore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仿宋简体" w:cs="Times New Roman"/>
          <w:b/>
          <w:sz w:val="32"/>
          <w:szCs w:val="32"/>
        </w:rPr>
      </w:pPr>
    </w:p>
    <w:p>
      <w:pPr>
        <w:keepNext w:val="0"/>
        <w:keepLines w:val="0"/>
        <w:pageBreakBefore w:val="0"/>
        <w:kinsoku/>
        <w:wordWrap/>
        <w:overflowPunct/>
        <w:topLinePunct w:val="0"/>
        <w:autoSpaceDE/>
        <w:autoSpaceDN/>
        <w:bidi w:val="0"/>
        <w:adjustRightInd/>
        <w:snapToGrid/>
        <w:spacing w:line="560" w:lineRule="exact"/>
        <w:ind w:right="-100" w:rightChars="-50" w:firstLine="640" w:firstLineChars="200"/>
        <w:textAlignment w:val="auto"/>
        <w:rPr>
          <w:rFonts w:hint="default" w:ascii="Times New Roman" w:hAnsi="Times New Roman" w:eastAsia="方正仿宋简体" w:cs="Times New Roman"/>
          <w:b/>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EE913"/>
    <w:multiLevelType w:val="singleLevel"/>
    <w:tmpl w:val="C68EE91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MzRlNGNjZjUxZTYxZGMxYTAwZjQ2MTk3MWJiNzgifQ=="/>
  </w:docVars>
  <w:rsids>
    <w:rsidRoot w:val="00172A27"/>
    <w:rsid w:val="0F0F5662"/>
    <w:rsid w:val="108F6A5A"/>
    <w:rsid w:val="13082DB5"/>
    <w:rsid w:val="1B610762"/>
    <w:rsid w:val="2350314C"/>
    <w:rsid w:val="28A272E0"/>
    <w:rsid w:val="330B7D6A"/>
    <w:rsid w:val="39CC0E1B"/>
    <w:rsid w:val="498D2E30"/>
    <w:rsid w:val="4ADD7DE7"/>
    <w:rsid w:val="535624E4"/>
    <w:rsid w:val="5BD14DFE"/>
    <w:rsid w:val="5C971A5A"/>
    <w:rsid w:val="5EBF27BB"/>
    <w:rsid w:val="6A0D5B9B"/>
    <w:rsid w:val="6B07083C"/>
    <w:rsid w:val="76891804"/>
    <w:rsid w:val="7BBB4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0" i="0" u="none" strike="noStrike" kern="1200" baseline="0">
              <a:solidFill>
                <a:schemeClr val="dk1">
                  <a:lumMod val="65000"/>
                  <a:lumOff val="35000"/>
                </a:schemeClr>
              </a:solidFill>
              <a:effectLst/>
              <a:latin typeface="+mn-lt"/>
              <a:ea typeface="+mn-ea"/>
              <a:cs typeface="+mn-cs"/>
            </a:defRPr>
          </a:pPr>
        </a:p>
      </c:txPr>
    </c:title>
    <c:autoTitleDeleted val="0"/>
    <c:plotArea>
      <c:layout/>
      <c:barChart>
        <c:barDir val="col"/>
        <c:grouping val="clustered"/>
        <c:varyColors val="0"/>
        <c:ser>
          <c:idx val="0"/>
          <c:order val="0"/>
          <c:tx>
            <c:strRef>
              <c:f>Sheet1!$B$1</c:f>
              <c:strCache>
                <c:ptCount val="1"/>
                <c:pt idx="0">
                  <c:v>曲阜市教体局各平台发布政府信息数据
情况表</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政务信息公开栏目</c:v>
                </c:pt>
                <c:pt idx="1">
                  <c:v>网站子点</c:v>
                </c:pt>
                <c:pt idx="2">
                  <c:v>政务新媒体</c:v>
                </c:pt>
              </c:strCache>
            </c:strRef>
          </c:cat>
          <c:val>
            <c:numRef>
              <c:f>Sheet1!$B$2:$B$4</c:f>
              <c:numCache>
                <c:formatCode>General</c:formatCode>
                <c:ptCount val="3"/>
                <c:pt idx="0">
                  <c:v>666</c:v>
                </c:pt>
                <c:pt idx="1">
                  <c:v>241</c:v>
                </c:pt>
                <c:pt idx="2">
                  <c:v>175</c:v>
                </c:pt>
              </c:numCache>
            </c:numRef>
          </c:val>
        </c:ser>
        <c:dLbls>
          <c:showLegendKey val="0"/>
          <c:showVal val="1"/>
          <c:showCatName val="0"/>
          <c:showSerName val="0"/>
          <c:showPercent val="0"/>
          <c:showBubbleSize val="0"/>
        </c:dLbls>
        <c:gapWidth val="41"/>
        <c:overlap val="0"/>
        <c:axId val="904778586"/>
        <c:axId val="636230389"/>
      </c:barChart>
      <c:catAx>
        <c:axId val="904778586"/>
        <c:scaling>
          <c:orientation val="minMax"/>
        </c:scaling>
        <c:delete val="0"/>
        <c:axPos val="b"/>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636230389"/>
        <c:crosses val="autoZero"/>
        <c:auto val="1"/>
        <c:lblAlgn val="ctr"/>
        <c:lblOffset val="100"/>
        <c:noMultiLvlLbl val="0"/>
      </c:catAx>
      <c:valAx>
        <c:axId val="636230389"/>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90477858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cap="all" spc="15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Sheet1!$B$1</c:f>
              <c:strCache>
                <c:ptCount val="1"/>
                <c:pt idx="0">
                  <c:v>市教体局政务信息公开内容</c:v>
                </c:pt>
              </c:strCache>
            </c:strRef>
          </c:tx>
          <c:spPr/>
          <c:explosion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dPt>
          <c:dPt>
            <c:idx val="5"/>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dPt>
          <c:dPt>
            <c:idx val="6"/>
            <c:bubble3D val="0"/>
            <c:spPr>
              <a:pattFill prst="ltUpDiag">
                <a:fgClr>
                  <a:schemeClr val="accent1">
                    <a:lumMod val="60000"/>
                  </a:schemeClr>
                </a:fgClr>
                <a:bgClr>
                  <a:schemeClr val="accent1">
                    <a:lumMod val="60000"/>
                    <a:lumMod val="20000"/>
                    <a:lumOff val="80000"/>
                  </a:schemeClr>
                </a:bgClr>
              </a:pattFill>
              <a:ln w="19050">
                <a:solidFill>
                  <a:schemeClr val="lt1"/>
                </a:solidFill>
              </a:ln>
              <a:effectLst>
                <a:innerShdw blurRad="114300">
                  <a:schemeClr val="accent1">
                    <a:lumMod val="60000"/>
                  </a:schemeClr>
                </a:innerShdw>
              </a:effectLst>
            </c:spPr>
          </c:dPt>
          <c:dPt>
            <c:idx val="7"/>
            <c:bubble3D val="0"/>
            <c:spPr>
              <a:pattFill prst="ltUpDiag">
                <a:fgClr>
                  <a:schemeClr val="accent2">
                    <a:lumMod val="60000"/>
                  </a:schemeClr>
                </a:fgClr>
                <a:bgClr>
                  <a:schemeClr val="accent2">
                    <a:lumMod val="60000"/>
                    <a:lumMod val="20000"/>
                    <a:lumOff val="80000"/>
                  </a:schemeClr>
                </a:bgClr>
              </a:pattFill>
              <a:ln w="19050">
                <a:solidFill>
                  <a:schemeClr val="lt1"/>
                </a:solidFill>
              </a:ln>
              <a:effectLst>
                <a:innerShdw blurRad="114300">
                  <a:schemeClr val="accent2">
                    <a:lumMod val="60000"/>
                  </a:schemeClr>
                </a:innerShdw>
              </a:effectLst>
            </c:spPr>
          </c:dPt>
          <c:dPt>
            <c:idx val="8"/>
            <c:bubble3D val="0"/>
            <c:spPr>
              <a:pattFill prst="ltUpDiag">
                <a:fgClr>
                  <a:schemeClr val="accent3">
                    <a:lumMod val="60000"/>
                  </a:schemeClr>
                </a:fgClr>
                <a:bgClr>
                  <a:schemeClr val="accent3">
                    <a:lumMod val="60000"/>
                    <a:lumMod val="20000"/>
                    <a:lumOff val="80000"/>
                  </a:schemeClr>
                </a:bgClr>
              </a:pattFill>
              <a:ln w="19050">
                <a:solidFill>
                  <a:schemeClr val="lt1"/>
                </a:solidFill>
              </a:ln>
              <a:effectLst>
                <a:innerShdw blurRad="114300">
                  <a:schemeClr val="accent3">
                    <a:lumMod val="60000"/>
                  </a:schemeClr>
                </a:innerShdw>
              </a:effectLst>
            </c:spPr>
          </c:dPt>
          <c:dLbls>
            <c:delete val="1"/>
          </c:dLbls>
          <c:cat>
            <c:strRef>
              <c:f>Sheet1!$A$2:$A$10</c:f>
              <c:strCache>
                <c:ptCount val="9"/>
                <c:pt idx="0">
                  <c:v>机构职能</c:v>
                </c:pt>
                <c:pt idx="1">
                  <c:v>政策解读</c:v>
                </c:pt>
                <c:pt idx="2">
                  <c:v>财政信息</c:v>
                </c:pt>
                <c:pt idx="3">
                  <c:v>行政执法信息</c:v>
                </c:pt>
                <c:pt idx="4">
                  <c:v>建议提案办理</c:v>
                </c:pt>
                <c:pt idx="5">
                  <c:v>“双随机一公开”监管信息</c:v>
                </c:pt>
                <c:pt idx="6">
                  <c:v>教育专栏</c:v>
                </c:pt>
                <c:pt idx="7">
                  <c:v>公共企事业单位信息</c:v>
                </c:pt>
                <c:pt idx="8">
                  <c:v>其他</c:v>
                </c:pt>
              </c:strCache>
            </c:strRef>
          </c:cat>
          <c:val>
            <c:numRef>
              <c:f>Sheet1!$B$2:$B$10</c:f>
              <c:numCache>
                <c:formatCode>General</c:formatCode>
                <c:ptCount val="9"/>
                <c:pt idx="0">
                  <c:v>4</c:v>
                </c:pt>
                <c:pt idx="1">
                  <c:v>8</c:v>
                </c:pt>
                <c:pt idx="2">
                  <c:v>6</c:v>
                </c:pt>
                <c:pt idx="3">
                  <c:v>19</c:v>
                </c:pt>
                <c:pt idx="4">
                  <c:v>8</c:v>
                </c:pt>
                <c:pt idx="5">
                  <c:v>9</c:v>
                </c:pt>
                <c:pt idx="6">
                  <c:v>49</c:v>
                </c:pt>
                <c:pt idx="7">
                  <c:v>550</c:v>
                </c:pt>
                <c:pt idx="8">
                  <c:v>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2023-01-18T08:24:00Z</dcterms:created>
  <dc:creator>新有凌曦</dc:creator>
  <cp:lastModifiedBy>新有凌曦</cp:lastModifiedBy>
  <dcterms:modified xsi:type="dcterms:W3CDTF">2023-02-07T01:06:03Z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8F63D9734CBC4EEFB08A2C0356809E6E</vt:lpwstr>
  </property>
</Properties>
</file>