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right="-96" w:rightChars="-50"/>
        <w:jc w:val="center"/>
        <w:outlineLvl w:val="0"/>
        <w:rPr>
          <w:rFonts w:hint="eastAsia" w:ascii="黑体" w:hAnsi="黑体" w:eastAsia="黑体" w:cs="黑体"/>
          <w:b/>
          <w:bCs w:val="0"/>
          <w:color w:val="000000"/>
          <w:sz w:val="44"/>
          <w:szCs w:val="44"/>
        </w:rPr>
      </w:pPr>
      <w:r>
        <w:rPr>
          <w:rFonts w:hint="eastAsia" w:ascii="黑体" w:hAnsi="黑体" w:eastAsia="黑体" w:cs="黑体"/>
          <w:b/>
          <w:bCs w:val="0"/>
          <w:color w:val="000000"/>
          <w:sz w:val="44"/>
          <w:szCs w:val="44"/>
          <w:lang w:val="en-US" w:eastAsia="zh-CN"/>
        </w:rPr>
        <w:t>曲阜市交通运输局</w:t>
      </w:r>
      <w:r>
        <w:rPr>
          <w:rFonts w:hint="eastAsia" w:ascii="黑体" w:hAnsi="黑体" w:eastAsia="黑体" w:cs="黑体"/>
          <w:b/>
          <w:bCs w:val="0"/>
          <w:color w:val="000000"/>
          <w:sz w:val="44"/>
          <w:szCs w:val="44"/>
        </w:rPr>
        <w:t>202</w:t>
      </w:r>
      <w:r>
        <w:rPr>
          <w:rFonts w:hint="eastAsia" w:ascii="黑体" w:hAnsi="黑体" w:eastAsia="黑体" w:cs="黑体"/>
          <w:b/>
          <w:bCs w:val="0"/>
          <w:color w:val="000000"/>
          <w:sz w:val="44"/>
          <w:szCs w:val="44"/>
          <w:lang w:val="en-US" w:eastAsia="zh-CN"/>
        </w:rPr>
        <w:t>3</w:t>
      </w:r>
      <w:r>
        <w:rPr>
          <w:rFonts w:hint="eastAsia" w:ascii="黑体" w:hAnsi="黑体" w:eastAsia="黑体" w:cs="黑体"/>
          <w:b/>
          <w:bCs w:val="0"/>
          <w:color w:val="000000"/>
          <w:sz w:val="44"/>
          <w:szCs w:val="44"/>
        </w:rPr>
        <w:t>年政府信息公开</w:t>
      </w:r>
    </w:p>
    <w:p>
      <w:pPr>
        <w:spacing w:line="590" w:lineRule="exact"/>
        <w:ind w:right="-96" w:rightChars="-50"/>
        <w:jc w:val="center"/>
        <w:outlineLvl w:val="0"/>
        <w:rPr>
          <w:rFonts w:hint="eastAsia" w:ascii="黑体" w:hAnsi="黑体" w:eastAsia="黑体" w:cs="黑体"/>
          <w:b/>
          <w:bCs w:val="0"/>
          <w:color w:val="000000"/>
          <w:sz w:val="44"/>
          <w:szCs w:val="44"/>
        </w:rPr>
      </w:pPr>
      <w:r>
        <w:rPr>
          <w:rFonts w:hint="eastAsia" w:ascii="黑体" w:hAnsi="黑体" w:eastAsia="黑体" w:cs="黑体"/>
          <w:b/>
          <w:bCs w:val="0"/>
          <w:color w:val="000000"/>
          <w:sz w:val="44"/>
          <w:szCs w:val="44"/>
        </w:rPr>
        <w:t>工作年度报告</w:t>
      </w:r>
    </w:p>
    <w:p>
      <w:pPr>
        <w:spacing w:line="590" w:lineRule="exact"/>
        <w:ind w:right="-96" w:rightChars="-50" w:firstLine="624" w:firstLineChars="200"/>
        <w:rPr>
          <w:rFonts w:hint="default" w:ascii="Times New Roman" w:hAnsi="Times New Roman" w:eastAsia="方正仿宋简体" w:cs="Times New Roman"/>
          <w:b/>
          <w:color w:val="000000"/>
          <w:sz w:val="32"/>
          <w:szCs w:val="32"/>
        </w:rPr>
      </w:pPr>
    </w:p>
    <w:p>
      <w:pPr>
        <w:spacing w:line="590" w:lineRule="exact"/>
        <w:ind w:right="-96" w:rightChars="-50" w:firstLine="624" w:firstLineChars="200"/>
        <w:rPr>
          <w:rFonts w:hint="eastAsia" w:asciiTheme="majorEastAsia" w:hAnsiTheme="majorEastAsia" w:eastAsiaTheme="majorEastAsia" w:cstheme="majorEastAsia"/>
          <w:b/>
          <w:bCs w:val="0"/>
          <w:color w:val="000000"/>
          <w:spacing w:val="-11"/>
          <w:sz w:val="32"/>
          <w:szCs w:val="32"/>
        </w:rPr>
      </w:pPr>
      <w:r>
        <w:rPr>
          <w:rFonts w:hint="eastAsia" w:asciiTheme="majorEastAsia" w:hAnsiTheme="majorEastAsia" w:eastAsiaTheme="majorEastAsia" w:cstheme="majorEastAsia"/>
          <w:b/>
          <w:bCs w:val="0"/>
          <w:color w:val="000000"/>
          <w:sz w:val="32"/>
          <w:szCs w:val="32"/>
        </w:rPr>
        <w:t>本报告由</w:t>
      </w:r>
      <w:r>
        <w:rPr>
          <w:rFonts w:hint="eastAsia" w:asciiTheme="majorEastAsia" w:hAnsiTheme="majorEastAsia" w:eastAsiaTheme="majorEastAsia" w:cstheme="majorEastAsia"/>
          <w:b/>
          <w:bCs w:val="0"/>
          <w:color w:val="000000"/>
          <w:sz w:val="32"/>
          <w:szCs w:val="32"/>
          <w:lang w:val="en-US" w:eastAsia="zh-CN"/>
        </w:rPr>
        <w:t>曲阜市交通运输局</w:t>
      </w:r>
      <w:r>
        <w:rPr>
          <w:rFonts w:hint="eastAsia" w:asciiTheme="majorEastAsia" w:hAnsiTheme="majorEastAsia" w:eastAsiaTheme="majorEastAsia" w:cstheme="majorEastAsia"/>
          <w:b/>
          <w:bCs w:val="0"/>
          <w:color w:val="000000"/>
          <w:sz w:val="32"/>
          <w:szCs w:val="32"/>
        </w:rPr>
        <w:t>按照《中华人民共和国政府信息公开条例》（以下简称《条例》）和《中华人民共和国政府信息</w:t>
      </w:r>
      <w:r>
        <w:rPr>
          <w:rFonts w:hint="eastAsia" w:asciiTheme="majorEastAsia" w:hAnsiTheme="majorEastAsia" w:eastAsiaTheme="majorEastAsia" w:cstheme="majorEastAsia"/>
          <w:b/>
          <w:bCs w:val="0"/>
          <w:color w:val="000000"/>
          <w:spacing w:val="-11"/>
          <w:sz w:val="32"/>
          <w:szCs w:val="32"/>
        </w:rPr>
        <w:t>公开工作年度报告格式》（国办公开办函〔2021〕30号）要求编制。</w:t>
      </w:r>
    </w:p>
    <w:p>
      <w:pPr>
        <w:spacing w:line="590" w:lineRule="exact"/>
        <w:ind w:right="-96" w:rightChars="-50" w:firstLine="624" w:firstLineChars="200"/>
        <w:rPr>
          <w:rFonts w:hint="eastAsia" w:asciiTheme="majorEastAsia" w:hAnsiTheme="majorEastAsia" w:eastAsiaTheme="majorEastAsia" w:cstheme="majorEastAsia"/>
          <w:b/>
          <w:bCs w:val="0"/>
          <w:color w:val="000000"/>
          <w:sz w:val="32"/>
          <w:szCs w:val="32"/>
        </w:rPr>
      </w:pPr>
      <w:r>
        <w:rPr>
          <w:rFonts w:hint="eastAsia" w:asciiTheme="majorEastAsia" w:hAnsiTheme="majorEastAsia" w:eastAsiaTheme="majorEastAsia" w:cstheme="majorEastAsia"/>
          <w:b/>
          <w:bCs w:val="0"/>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spacing w:line="590" w:lineRule="exact"/>
        <w:ind w:right="-96" w:rightChars="-50" w:firstLine="624" w:firstLineChars="200"/>
        <w:rPr>
          <w:rFonts w:hint="eastAsia" w:asciiTheme="majorEastAsia" w:hAnsiTheme="majorEastAsia" w:eastAsiaTheme="majorEastAsia" w:cstheme="majorEastAsia"/>
          <w:b/>
          <w:bCs w:val="0"/>
          <w:color w:val="000000"/>
          <w:sz w:val="32"/>
          <w:szCs w:val="32"/>
        </w:rPr>
      </w:pPr>
      <w:r>
        <w:rPr>
          <w:rFonts w:hint="eastAsia" w:asciiTheme="majorEastAsia" w:hAnsiTheme="majorEastAsia" w:eastAsiaTheme="majorEastAsia" w:cstheme="majorEastAsia"/>
          <w:b/>
          <w:bCs w:val="0"/>
          <w:color w:val="000000"/>
          <w:sz w:val="32"/>
          <w:szCs w:val="32"/>
        </w:rPr>
        <w:t>本报告所列数据的统计期限自202</w:t>
      </w:r>
      <w:r>
        <w:rPr>
          <w:rFonts w:hint="eastAsia" w:asciiTheme="majorEastAsia" w:hAnsiTheme="majorEastAsia" w:eastAsiaTheme="majorEastAsia" w:cstheme="majorEastAsia"/>
          <w:b/>
          <w:bCs w:val="0"/>
          <w:color w:val="000000"/>
          <w:sz w:val="32"/>
          <w:szCs w:val="32"/>
          <w:lang w:val="en-US" w:eastAsia="zh-CN"/>
        </w:rPr>
        <w:t>3</w:t>
      </w:r>
      <w:r>
        <w:rPr>
          <w:rFonts w:hint="eastAsia" w:asciiTheme="majorEastAsia" w:hAnsiTheme="majorEastAsia" w:eastAsiaTheme="majorEastAsia" w:cstheme="majorEastAsia"/>
          <w:b/>
          <w:bCs w:val="0"/>
          <w:color w:val="000000"/>
          <w:sz w:val="32"/>
          <w:szCs w:val="32"/>
        </w:rPr>
        <w:t>年1月1日起至202</w:t>
      </w:r>
      <w:r>
        <w:rPr>
          <w:rFonts w:hint="eastAsia" w:asciiTheme="majorEastAsia" w:hAnsiTheme="majorEastAsia" w:eastAsiaTheme="majorEastAsia" w:cstheme="majorEastAsia"/>
          <w:b/>
          <w:bCs w:val="0"/>
          <w:color w:val="000000"/>
          <w:sz w:val="32"/>
          <w:szCs w:val="32"/>
          <w:lang w:val="en-US" w:eastAsia="zh-CN"/>
        </w:rPr>
        <w:t>3</w:t>
      </w:r>
      <w:r>
        <w:rPr>
          <w:rFonts w:hint="eastAsia" w:asciiTheme="majorEastAsia" w:hAnsiTheme="majorEastAsia" w:eastAsiaTheme="majorEastAsia" w:cstheme="majorEastAsia"/>
          <w:b/>
          <w:bCs w:val="0"/>
          <w:color w:val="000000"/>
          <w:sz w:val="32"/>
          <w:szCs w:val="32"/>
        </w:rPr>
        <w:t>年12月31日止。本报告电子版可在“中国·</w:t>
      </w:r>
      <w:r>
        <w:rPr>
          <w:rFonts w:hint="eastAsia" w:asciiTheme="majorEastAsia" w:hAnsiTheme="majorEastAsia" w:eastAsiaTheme="majorEastAsia" w:cstheme="majorEastAsia"/>
          <w:b/>
          <w:bCs w:val="0"/>
          <w:color w:val="000000"/>
          <w:sz w:val="32"/>
          <w:szCs w:val="32"/>
          <w:lang w:val="en-US" w:eastAsia="zh-CN"/>
        </w:rPr>
        <w:t>曲阜</w:t>
      </w:r>
      <w:r>
        <w:rPr>
          <w:rFonts w:hint="eastAsia" w:asciiTheme="majorEastAsia" w:hAnsiTheme="majorEastAsia" w:eastAsiaTheme="majorEastAsia" w:cstheme="majorEastAsia"/>
          <w:b/>
          <w:bCs w:val="0"/>
          <w:color w:val="000000"/>
          <w:sz w:val="32"/>
          <w:szCs w:val="32"/>
        </w:rPr>
        <w:t>”政府门户网站（</w:t>
      </w:r>
      <w:r>
        <w:rPr>
          <w:rFonts w:hint="eastAsia" w:asciiTheme="majorEastAsia" w:hAnsiTheme="majorEastAsia" w:eastAsiaTheme="majorEastAsia" w:cstheme="majorEastAsia"/>
          <w:b/>
          <w:bCs w:val="0"/>
          <w:color w:val="000000"/>
          <w:sz w:val="32"/>
          <w:szCs w:val="32"/>
          <w:lang w:val="en-US" w:eastAsia="zh-CN"/>
        </w:rPr>
        <w:t>www.qufu.gov.cn</w:t>
      </w:r>
      <w:r>
        <w:rPr>
          <w:rFonts w:hint="eastAsia" w:asciiTheme="majorEastAsia" w:hAnsiTheme="majorEastAsia" w:eastAsiaTheme="majorEastAsia" w:cstheme="majorEastAsia"/>
          <w:b/>
          <w:bCs w:val="0"/>
          <w:color w:val="000000"/>
          <w:sz w:val="32"/>
          <w:szCs w:val="32"/>
        </w:rPr>
        <w:t>）查阅或下载。如对本报告有疑问，请与</w:t>
      </w:r>
      <w:r>
        <w:rPr>
          <w:rFonts w:hint="eastAsia" w:asciiTheme="majorEastAsia" w:hAnsiTheme="majorEastAsia" w:eastAsiaTheme="majorEastAsia" w:cstheme="majorEastAsia"/>
          <w:b/>
          <w:bCs w:val="0"/>
          <w:color w:val="000000"/>
          <w:sz w:val="32"/>
          <w:szCs w:val="32"/>
          <w:lang w:val="en-US" w:eastAsia="zh-CN"/>
        </w:rPr>
        <w:t>曲阜市交通运输局</w:t>
      </w:r>
      <w:r>
        <w:rPr>
          <w:rFonts w:hint="eastAsia" w:asciiTheme="majorEastAsia" w:hAnsiTheme="majorEastAsia" w:eastAsiaTheme="majorEastAsia" w:cstheme="majorEastAsia"/>
          <w:b/>
          <w:bCs w:val="0"/>
          <w:color w:val="000000"/>
          <w:sz w:val="32"/>
          <w:szCs w:val="32"/>
        </w:rPr>
        <w:t>联系（地址：</w:t>
      </w:r>
      <w:r>
        <w:rPr>
          <w:rFonts w:hint="eastAsia" w:asciiTheme="majorEastAsia" w:hAnsiTheme="majorEastAsia" w:eastAsiaTheme="majorEastAsia" w:cstheme="majorEastAsia"/>
          <w:b/>
          <w:bCs w:val="0"/>
          <w:color w:val="000000"/>
          <w:sz w:val="32"/>
          <w:szCs w:val="32"/>
          <w:lang w:val="en-US" w:eastAsia="zh-CN"/>
        </w:rPr>
        <w:t>曲阜市静轩中路53号</w:t>
      </w:r>
      <w:r>
        <w:rPr>
          <w:rFonts w:hint="eastAsia" w:asciiTheme="majorEastAsia" w:hAnsiTheme="majorEastAsia" w:eastAsiaTheme="majorEastAsia" w:cstheme="majorEastAsia"/>
          <w:b/>
          <w:bCs w:val="0"/>
          <w:color w:val="000000"/>
          <w:sz w:val="32"/>
          <w:szCs w:val="32"/>
        </w:rPr>
        <w:t>，联系电话：0537—</w:t>
      </w:r>
      <w:r>
        <w:rPr>
          <w:rFonts w:hint="eastAsia" w:asciiTheme="majorEastAsia" w:hAnsiTheme="majorEastAsia" w:eastAsiaTheme="majorEastAsia" w:cstheme="majorEastAsia"/>
          <w:b/>
          <w:bCs w:val="0"/>
          <w:color w:val="000000"/>
          <w:sz w:val="32"/>
          <w:szCs w:val="32"/>
          <w:lang w:val="en-US" w:eastAsia="zh-CN"/>
        </w:rPr>
        <w:t>4412711</w:t>
      </w:r>
      <w:r>
        <w:rPr>
          <w:rFonts w:hint="eastAsia" w:asciiTheme="majorEastAsia" w:hAnsiTheme="majorEastAsia" w:eastAsiaTheme="majorEastAsia" w:cstheme="majorEastAsia"/>
          <w:b/>
          <w:bCs w:val="0"/>
          <w:color w:val="000000"/>
          <w:sz w:val="32"/>
          <w:szCs w:val="32"/>
        </w:rPr>
        <w:t>）。</w:t>
      </w:r>
    </w:p>
    <w:p>
      <w:pPr>
        <w:spacing w:line="590" w:lineRule="exact"/>
        <w:ind w:right="-96" w:rightChars="-50" w:firstLine="624" w:firstLineChars="200"/>
        <w:rPr>
          <w:rFonts w:hint="eastAsia" w:ascii="黑体" w:hAnsi="黑体" w:eastAsia="黑体" w:cs="黑体"/>
          <w:b/>
          <w:bCs w:val="0"/>
          <w:color w:val="000000"/>
          <w:sz w:val="32"/>
          <w:szCs w:val="32"/>
        </w:rPr>
      </w:pPr>
      <w:r>
        <w:rPr>
          <w:rFonts w:hint="eastAsia" w:ascii="黑体" w:hAnsi="黑体" w:eastAsia="黑体" w:cs="黑体"/>
          <w:b/>
          <w:bCs w:val="0"/>
          <w:color w:val="000000"/>
          <w:sz w:val="32"/>
          <w:szCs w:val="32"/>
        </w:rPr>
        <w:t>一、总体情况</w:t>
      </w:r>
    </w:p>
    <w:p>
      <w:pPr>
        <w:spacing w:line="590" w:lineRule="exact"/>
        <w:ind w:right="-96" w:rightChars="-50" w:firstLine="624" w:firstLineChars="200"/>
        <w:rPr>
          <w:rFonts w:hint="eastAsia" w:asciiTheme="majorEastAsia" w:hAnsiTheme="majorEastAsia" w:eastAsiaTheme="majorEastAsia" w:cstheme="majorEastAsia"/>
          <w:b/>
          <w:bCs w:val="0"/>
          <w:color w:val="000000"/>
          <w:sz w:val="32"/>
          <w:szCs w:val="32"/>
        </w:rPr>
      </w:pPr>
      <w:r>
        <w:rPr>
          <w:rFonts w:hint="eastAsia" w:asciiTheme="majorEastAsia" w:hAnsiTheme="majorEastAsia" w:eastAsiaTheme="majorEastAsia" w:cstheme="majorEastAsia"/>
          <w:b/>
          <w:bCs w:val="0"/>
          <w:i w:val="0"/>
          <w:iCs w:val="0"/>
          <w:caps w:val="0"/>
          <w:color w:val="333333"/>
          <w:spacing w:val="0"/>
          <w:sz w:val="32"/>
          <w:szCs w:val="32"/>
          <w:shd w:val="clear" w:fill="FFFFFF"/>
        </w:rPr>
        <w:t>2023年，在市委、市政府的正确领导下，</w:t>
      </w:r>
      <w:r>
        <w:rPr>
          <w:rFonts w:hint="eastAsia" w:asciiTheme="majorEastAsia" w:hAnsiTheme="majorEastAsia" w:eastAsiaTheme="majorEastAsia" w:cstheme="majorEastAsia"/>
          <w:b/>
          <w:bCs w:val="0"/>
          <w:i w:val="0"/>
          <w:iCs w:val="0"/>
          <w:caps w:val="0"/>
          <w:color w:val="333333"/>
          <w:spacing w:val="0"/>
          <w:sz w:val="32"/>
          <w:szCs w:val="32"/>
          <w:shd w:val="clear" w:fill="FFFFFF"/>
          <w:lang w:val="en-US" w:eastAsia="zh-CN"/>
        </w:rPr>
        <w:t>曲阜市交通运输</w:t>
      </w:r>
      <w:r>
        <w:rPr>
          <w:rFonts w:hint="eastAsia" w:asciiTheme="majorEastAsia" w:hAnsiTheme="majorEastAsia" w:eastAsiaTheme="majorEastAsia" w:cstheme="majorEastAsia"/>
          <w:b/>
          <w:bCs w:val="0"/>
          <w:i w:val="0"/>
          <w:iCs w:val="0"/>
          <w:caps w:val="0"/>
          <w:color w:val="333333"/>
          <w:spacing w:val="0"/>
          <w:sz w:val="32"/>
          <w:szCs w:val="32"/>
          <w:shd w:val="clear" w:fill="FFFFFF"/>
        </w:rPr>
        <w:t>局</w:t>
      </w:r>
      <w:r>
        <w:rPr>
          <w:rFonts w:hint="eastAsia" w:asciiTheme="majorEastAsia" w:hAnsiTheme="majorEastAsia" w:eastAsiaTheme="majorEastAsia" w:cstheme="majorEastAsia"/>
          <w:b/>
          <w:bCs w:val="0"/>
          <w:i w:val="0"/>
          <w:iCs w:val="0"/>
          <w:caps w:val="0"/>
          <w:color w:val="333333"/>
          <w:spacing w:val="0"/>
          <w:sz w:val="32"/>
          <w:szCs w:val="32"/>
          <w:shd w:val="clear" w:fill="FFFFFF"/>
          <w:lang w:val="en-US" w:eastAsia="zh-CN"/>
        </w:rPr>
        <w:t>认真</w:t>
      </w:r>
      <w:r>
        <w:rPr>
          <w:rFonts w:hint="eastAsia" w:asciiTheme="majorEastAsia" w:hAnsiTheme="majorEastAsia" w:eastAsiaTheme="majorEastAsia" w:cstheme="majorEastAsia"/>
          <w:b/>
          <w:bCs w:val="0"/>
          <w:i w:val="0"/>
          <w:iCs w:val="0"/>
          <w:caps w:val="0"/>
          <w:color w:val="333333"/>
          <w:spacing w:val="0"/>
          <w:sz w:val="32"/>
          <w:szCs w:val="32"/>
          <w:shd w:val="clear" w:fill="FFFFFF"/>
        </w:rPr>
        <w:t>贯彻落实《条例》</w:t>
      </w:r>
      <w:r>
        <w:rPr>
          <w:rFonts w:hint="eastAsia" w:asciiTheme="majorEastAsia" w:hAnsiTheme="majorEastAsia" w:eastAsiaTheme="majorEastAsia" w:cstheme="majorEastAsia"/>
          <w:b/>
          <w:bCs w:val="0"/>
          <w:i w:val="0"/>
          <w:iCs w:val="0"/>
          <w:caps w:val="0"/>
          <w:color w:val="333333"/>
          <w:spacing w:val="0"/>
          <w:sz w:val="32"/>
          <w:szCs w:val="32"/>
          <w:shd w:val="clear" w:fill="FFFFFF"/>
          <w:lang w:val="en-US" w:eastAsia="zh-CN"/>
        </w:rPr>
        <w:t>和</w:t>
      </w:r>
      <w:r>
        <w:rPr>
          <w:rFonts w:hint="eastAsia" w:asciiTheme="majorEastAsia" w:hAnsiTheme="majorEastAsia" w:eastAsiaTheme="majorEastAsia" w:cstheme="majorEastAsia"/>
          <w:b/>
          <w:bCs w:val="0"/>
          <w:i w:val="0"/>
          <w:iCs w:val="0"/>
          <w:caps w:val="0"/>
          <w:color w:val="333333"/>
          <w:spacing w:val="0"/>
          <w:sz w:val="32"/>
          <w:szCs w:val="32"/>
          <w:shd w:val="clear" w:fill="FFFFFF"/>
        </w:rPr>
        <w:t>《</w:t>
      </w:r>
      <w:r>
        <w:rPr>
          <w:rFonts w:hint="eastAsia" w:asciiTheme="majorEastAsia" w:hAnsiTheme="majorEastAsia" w:eastAsiaTheme="majorEastAsia" w:cstheme="majorEastAsia"/>
          <w:b/>
          <w:bCs w:val="0"/>
          <w:color w:val="000000"/>
          <w:spacing w:val="-11"/>
          <w:sz w:val="32"/>
          <w:szCs w:val="32"/>
        </w:rPr>
        <w:t>国办公开办函〔2021〕30号</w:t>
      </w:r>
      <w:r>
        <w:rPr>
          <w:rFonts w:hint="eastAsia" w:asciiTheme="majorEastAsia" w:hAnsiTheme="majorEastAsia" w:eastAsiaTheme="majorEastAsia" w:cstheme="majorEastAsia"/>
          <w:b/>
          <w:bCs w:val="0"/>
          <w:i w:val="0"/>
          <w:iCs w:val="0"/>
          <w:caps w:val="0"/>
          <w:color w:val="333333"/>
          <w:spacing w:val="0"/>
          <w:sz w:val="32"/>
          <w:szCs w:val="32"/>
          <w:shd w:val="clear" w:fill="FFFFFF"/>
        </w:rPr>
        <w:t>》</w:t>
      </w:r>
      <w:r>
        <w:rPr>
          <w:rFonts w:hint="eastAsia" w:asciiTheme="majorEastAsia" w:hAnsiTheme="majorEastAsia" w:eastAsiaTheme="majorEastAsia" w:cstheme="majorEastAsia"/>
          <w:b/>
          <w:bCs w:val="0"/>
          <w:i w:val="0"/>
          <w:iCs w:val="0"/>
          <w:caps w:val="0"/>
          <w:color w:val="333333"/>
          <w:spacing w:val="0"/>
          <w:sz w:val="32"/>
          <w:szCs w:val="32"/>
          <w:shd w:val="clear" w:fill="FFFFFF"/>
          <w:lang w:val="en-US" w:eastAsia="zh-CN"/>
        </w:rPr>
        <w:t>要求</w:t>
      </w:r>
      <w:r>
        <w:rPr>
          <w:rFonts w:hint="eastAsia" w:asciiTheme="majorEastAsia" w:hAnsiTheme="majorEastAsia" w:eastAsiaTheme="majorEastAsia" w:cstheme="majorEastAsia"/>
          <w:b/>
          <w:bCs w:val="0"/>
          <w:i w:val="0"/>
          <w:iCs w:val="0"/>
          <w:caps w:val="0"/>
          <w:color w:val="333333"/>
          <w:spacing w:val="0"/>
          <w:sz w:val="32"/>
          <w:szCs w:val="32"/>
          <w:shd w:val="clear" w:fill="FFFFFF"/>
        </w:rPr>
        <w:t>，紧密结合工作实际，坚持以</w:t>
      </w:r>
      <w:r>
        <w:rPr>
          <w:rFonts w:hint="eastAsia" w:asciiTheme="majorEastAsia" w:hAnsiTheme="majorEastAsia" w:eastAsiaTheme="majorEastAsia" w:cstheme="majorEastAsia"/>
          <w:b/>
          <w:bCs w:val="0"/>
          <w:i w:val="0"/>
          <w:iCs w:val="0"/>
          <w:caps w:val="0"/>
          <w:color w:val="333333"/>
          <w:spacing w:val="0"/>
          <w:sz w:val="32"/>
          <w:szCs w:val="32"/>
          <w:shd w:val="clear" w:fill="FFFFFF"/>
          <w:lang w:eastAsia="zh-CN"/>
        </w:rPr>
        <w:t>“</w:t>
      </w:r>
      <w:r>
        <w:rPr>
          <w:rFonts w:hint="eastAsia" w:asciiTheme="majorEastAsia" w:hAnsiTheme="majorEastAsia" w:eastAsiaTheme="majorEastAsia" w:cstheme="majorEastAsia"/>
          <w:b/>
          <w:bCs w:val="0"/>
          <w:i w:val="0"/>
          <w:iCs w:val="0"/>
          <w:caps w:val="0"/>
          <w:color w:val="333333"/>
          <w:spacing w:val="0"/>
          <w:sz w:val="32"/>
          <w:szCs w:val="32"/>
          <w:shd w:val="clear" w:fill="FFFFFF"/>
        </w:rPr>
        <w:t>公开为常态、不公开为例外</w:t>
      </w:r>
      <w:r>
        <w:rPr>
          <w:rFonts w:hint="eastAsia" w:asciiTheme="majorEastAsia" w:hAnsiTheme="majorEastAsia" w:eastAsiaTheme="majorEastAsia" w:cstheme="majorEastAsia"/>
          <w:b/>
          <w:bCs w:val="0"/>
          <w:i w:val="0"/>
          <w:iCs w:val="0"/>
          <w:caps w:val="0"/>
          <w:color w:val="333333"/>
          <w:spacing w:val="0"/>
          <w:sz w:val="32"/>
          <w:szCs w:val="32"/>
          <w:shd w:val="clear" w:fill="FFFFFF"/>
          <w:lang w:eastAsia="zh-CN"/>
        </w:rPr>
        <w:t>”</w:t>
      </w:r>
      <w:r>
        <w:rPr>
          <w:rFonts w:hint="eastAsia" w:asciiTheme="majorEastAsia" w:hAnsiTheme="majorEastAsia" w:eastAsiaTheme="majorEastAsia" w:cstheme="majorEastAsia"/>
          <w:b/>
          <w:bCs w:val="0"/>
          <w:i w:val="0"/>
          <w:iCs w:val="0"/>
          <w:caps w:val="0"/>
          <w:color w:val="333333"/>
          <w:spacing w:val="0"/>
          <w:sz w:val="32"/>
          <w:szCs w:val="32"/>
          <w:shd w:val="clear" w:fill="FFFFFF"/>
        </w:rPr>
        <w:t>的原则，着力健全工作机制、加快平台建设、强化日常监督管理，聚焦全市交通运输事业发展和群众关心期盼，全面推进政务公开工作。</w:t>
      </w:r>
    </w:p>
    <w:p>
      <w:pPr>
        <w:spacing w:line="590" w:lineRule="exact"/>
        <w:ind w:right="-96" w:rightChars="-50" w:firstLine="624" w:firstLineChars="200"/>
        <w:rPr>
          <w:rFonts w:hint="eastAsia" w:asciiTheme="majorEastAsia" w:hAnsiTheme="majorEastAsia" w:eastAsiaTheme="majorEastAsia" w:cstheme="majorEastAsia"/>
          <w:b/>
          <w:bCs w:val="0"/>
          <w:color w:val="000000"/>
          <w:sz w:val="32"/>
          <w:szCs w:val="32"/>
        </w:rPr>
      </w:pPr>
      <w:r>
        <w:rPr>
          <w:rFonts w:hint="eastAsia" w:asciiTheme="majorEastAsia" w:hAnsiTheme="majorEastAsia" w:eastAsiaTheme="majorEastAsia" w:cstheme="majorEastAsia"/>
          <w:b/>
          <w:bCs w:val="0"/>
          <w:color w:val="000000"/>
          <w:sz w:val="32"/>
          <w:szCs w:val="32"/>
        </w:rPr>
        <w:t>（一）主动公开情况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firstLine="624" w:firstLineChars="200"/>
        <w:jc w:val="left"/>
        <w:rPr>
          <w:rFonts w:hint="eastAsia" w:asciiTheme="majorEastAsia" w:hAnsiTheme="majorEastAsia" w:eastAsiaTheme="majorEastAsia" w:cstheme="majorEastAsia"/>
          <w:b/>
          <w:bCs w:val="0"/>
          <w:i w:val="0"/>
          <w:iCs w:val="0"/>
          <w:caps w:val="0"/>
          <w:color w:val="333333"/>
          <w:spacing w:val="0"/>
          <w:sz w:val="32"/>
          <w:szCs w:val="32"/>
          <w:lang w:val="en-US" w:eastAsia="zh-CN"/>
        </w:rPr>
      </w:pPr>
      <w:r>
        <w:rPr>
          <w:rFonts w:hint="eastAsia" w:asciiTheme="majorEastAsia" w:hAnsiTheme="majorEastAsia" w:eastAsiaTheme="majorEastAsia" w:cstheme="majorEastAsia"/>
          <w:b/>
          <w:bCs w:val="0"/>
          <w:i w:val="0"/>
          <w:iCs w:val="0"/>
          <w:caps w:val="0"/>
          <w:color w:val="000000"/>
          <w:spacing w:val="0"/>
          <w:sz w:val="32"/>
          <w:szCs w:val="32"/>
        </w:rPr>
        <w:t>在政府信息公开网站依法及时公开各类政府信息</w:t>
      </w:r>
      <w:r>
        <w:rPr>
          <w:rFonts w:hint="eastAsia" w:asciiTheme="majorEastAsia" w:hAnsiTheme="majorEastAsia" w:eastAsiaTheme="majorEastAsia" w:cstheme="majorEastAsia"/>
          <w:b/>
          <w:bCs w:val="0"/>
          <w:i w:val="0"/>
          <w:iCs w:val="0"/>
          <w:caps w:val="0"/>
          <w:color w:val="000000"/>
          <w:spacing w:val="0"/>
          <w:sz w:val="32"/>
          <w:szCs w:val="32"/>
          <w:lang w:val="en-US" w:eastAsia="zh-CN"/>
        </w:rPr>
        <w:t>156</w:t>
      </w:r>
      <w:r>
        <w:rPr>
          <w:rFonts w:hint="eastAsia" w:asciiTheme="majorEastAsia" w:hAnsiTheme="majorEastAsia" w:eastAsiaTheme="majorEastAsia" w:cstheme="majorEastAsia"/>
          <w:b/>
          <w:bCs w:val="0"/>
          <w:i w:val="0"/>
          <w:iCs w:val="0"/>
          <w:caps w:val="0"/>
          <w:color w:val="000000"/>
          <w:spacing w:val="0"/>
          <w:sz w:val="32"/>
          <w:szCs w:val="32"/>
        </w:rPr>
        <w:t>条，</w:t>
      </w:r>
      <w:r>
        <w:rPr>
          <w:rFonts w:hint="eastAsia" w:asciiTheme="majorEastAsia" w:hAnsiTheme="majorEastAsia" w:eastAsiaTheme="majorEastAsia" w:cstheme="majorEastAsia"/>
          <w:b/>
          <w:bCs w:val="0"/>
          <w:i w:val="0"/>
          <w:iCs w:val="0"/>
          <w:caps w:val="0"/>
          <w:color w:val="000000"/>
          <w:spacing w:val="0"/>
          <w:sz w:val="32"/>
          <w:szCs w:val="32"/>
          <w:lang w:val="en-US" w:eastAsia="zh-CN"/>
        </w:rPr>
        <w:t>局门户网站发布信息205条，</w:t>
      </w:r>
      <w:r>
        <w:rPr>
          <w:rFonts w:hint="eastAsia" w:asciiTheme="majorEastAsia" w:hAnsiTheme="majorEastAsia" w:eastAsiaTheme="majorEastAsia" w:cstheme="majorEastAsia"/>
          <w:b/>
          <w:bCs w:val="0"/>
          <w:i w:val="0"/>
          <w:iCs w:val="0"/>
          <w:caps w:val="0"/>
          <w:color w:val="000000"/>
          <w:spacing w:val="0"/>
          <w:sz w:val="32"/>
          <w:szCs w:val="32"/>
        </w:rPr>
        <w:t>“</w:t>
      </w:r>
      <w:r>
        <w:rPr>
          <w:rFonts w:hint="eastAsia" w:asciiTheme="majorEastAsia" w:hAnsiTheme="majorEastAsia" w:eastAsiaTheme="majorEastAsia" w:cstheme="majorEastAsia"/>
          <w:b/>
          <w:bCs w:val="0"/>
          <w:i w:val="0"/>
          <w:iCs w:val="0"/>
          <w:caps w:val="0"/>
          <w:color w:val="000000"/>
          <w:spacing w:val="0"/>
          <w:sz w:val="32"/>
          <w:szCs w:val="32"/>
          <w:lang w:val="en-US" w:eastAsia="zh-CN"/>
        </w:rPr>
        <w:t>曲阜交运</w:t>
      </w:r>
      <w:r>
        <w:rPr>
          <w:rFonts w:hint="eastAsia" w:asciiTheme="majorEastAsia" w:hAnsiTheme="majorEastAsia" w:eastAsiaTheme="majorEastAsia" w:cstheme="majorEastAsia"/>
          <w:b/>
          <w:bCs w:val="0"/>
          <w:i w:val="0"/>
          <w:iCs w:val="0"/>
          <w:caps w:val="0"/>
          <w:color w:val="000000"/>
          <w:spacing w:val="0"/>
          <w:sz w:val="32"/>
          <w:szCs w:val="32"/>
        </w:rPr>
        <w:t>”微信公众号推送信息</w:t>
      </w:r>
      <w:r>
        <w:rPr>
          <w:rFonts w:hint="eastAsia" w:asciiTheme="majorEastAsia" w:hAnsiTheme="majorEastAsia" w:eastAsiaTheme="majorEastAsia" w:cstheme="majorEastAsia"/>
          <w:b/>
          <w:bCs w:val="0"/>
          <w:i w:val="0"/>
          <w:iCs w:val="0"/>
          <w:caps w:val="0"/>
          <w:color w:val="000000"/>
          <w:spacing w:val="0"/>
          <w:sz w:val="32"/>
          <w:szCs w:val="32"/>
          <w:lang w:val="en-US" w:eastAsia="zh-CN"/>
        </w:rPr>
        <w:t>162</w:t>
      </w:r>
      <w:r>
        <w:rPr>
          <w:rFonts w:hint="eastAsia" w:asciiTheme="majorEastAsia" w:hAnsiTheme="majorEastAsia" w:eastAsiaTheme="majorEastAsia" w:cstheme="majorEastAsia"/>
          <w:b/>
          <w:bCs w:val="0"/>
          <w:i w:val="0"/>
          <w:iCs w:val="0"/>
          <w:caps w:val="0"/>
          <w:color w:val="000000"/>
          <w:spacing w:val="0"/>
          <w:sz w:val="32"/>
          <w:szCs w:val="32"/>
        </w:rPr>
        <w:t>条，做到了主动公开形式多样、及时准确、公开透明。</w:t>
      </w:r>
      <w:r>
        <w:rPr>
          <w:rFonts w:hint="eastAsia" w:asciiTheme="majorEastAsia" w:hAnsiTheme="majorEastAsia" w:eastAsiaTheme="majorEastAsia" w:cstheme="majorEastAsia"/>
          <w:b/>
          <w:bCs w:val="0"/>
          <w:i w:val="0"/>
          <w:iCs w:val="0"/>
          <w:caps w:val="0"/>
          <w:color w:val="000000"/>
          <w:spacing w:val="0"/>
          <w:sz w:val="32"/>
          <w:szCs w:val="32"/>
          <w:lang w:val="en-US" w:eastAsia="zh-CN"/>
        </w:rPr>
        <w:t>其中政府信息公开包括：1、局基础信息公开21条，包括</w:t>
      </w:r>
      <w:r>
        <w:rPr>
          <w:rFonts w:hint="eastAsia" w:asciiTheme="majorEastAsia" w:hAnsiTheme="majorEastAsia" w:eastAsiaTheme="majorEastAsia" w:cstheme="majorEastAsia"/>
          <w:b/>
          <w:bCs w:val="0"/>
          <w:i w:val="0"/>
          <w:iCs w:val="0"/>
          <w:caps w:val="0"/>
          <w:color w:val="333333"/>
          <w:spacing w:val="0"/>
          <w:sz w:val="32"/>
          <w:szCs w:val="32"/>
        </w:rPr>
        <w:t>部门文件及解读信息</w:t>
      </w:r>
      <w:r>
        <w:rPr>
          <w:rFonts w:hint="eastAsia" w:asciiTheme="majorEastAsia" w:hAnsiTheme="majorEastAsia" w:eastAsiaTheme="majorEastAsia" w:cstheme="majorEastAsia"/>
          <w:b/>
          <w:bCs w:val="0"/>
          <w:i w:val="0"/>
          <w:iCs w:val="0"/>
          <w:caps w:val="0"/>
          <w:color w:val="333333"/>
          <w:spacing w:val="0"/>
          <w:sz w:val="32"/>
          <w:szCs w:val="32"/>
          <w:lang w:eastAsia="zh-CN"/>
        </w:rPr>
        <w:t>、</w:t>
      </w:r>
      <w:r>
        <w:rPr>
          <w:rFonts w:hint="eastAsia" w:asciiTheme="majorEastAsia" w:hAnsiTheme="majorEastAsia" w:eastAsiaTheme="majorEastAsia" w:cstheme="majorEastAsia"/>
          <w:b/>
          <w:bCs w:val="0"/>
          <w:i w:val="0"/>
          <w:iCs w:val="0"/>
          <w:caps w:val="0"/>
          <w:color w:val="333333"/>
          <w:spacing w:val="0"/>
          <w:sz w:val="32"/>
          <w:szCs w:val="32"/>
          <w:lang w:val="en-US" w:eastAsia="zh-CN"/>
        </w:rPr>
        <w:t>机构职能</w:t>
      </w:r>
      <w:r>
        <w:rPr>
          <w:rFonts w:hint="eastAsia" w:asciiTheme="majorEastAsia" w:hAnsiTheme="majorEastAsia" w:eastAsiaTheme="majorEastAsia" w:cstheme="majorEastAsia"/>
          <w:b/>
          <w:bCs w:val="0"/>
          <w:i w:val="0"/>
          <w:iCs w:val="0"/>
          <w:caps w:val="0"/>
          <w:color w:val="333333"/>
          <w:spacing w:val="0"/>
          <w:sz w:val="32"/>
          <w:szCs w:val="32"/>
        </w:rPr>
        <w:t>、</w:t>
      </w:r>
      <w:r>
        <w:rPr>
          <w:rFonts w:hint="eastAsia" w:asciiTheme="majorEastAsia" w:hAnsiTheme="majorEastAsia" w:eastAsiaTheme="majorEastAsia" w:cstheme="majorEastAsia"/>
          <w:b/>
          <w:bCs w:val="0"/>
          <w:i w:val="0"/>
          <w:iCs w:val="0"/>
          <w:caps w:val="0"/>
          <w:color w:val="333333"/>
          <w:spacing w:val="0"/>
          <w:sz w:val="32"/>
          <w:szCs w:val="32"/>
          <w:lang w:val="en-US" w:eastAsia="zh-CN"/>
        </w:rPr>
        <w:t>政策解读、组织管理、重点会议等公开项目；2、交运局部门及邮政服务中心预决算6条；3、重大建设项目包括尼山环湖路二期道路工程和济曲快速路工程共发布信息16条；4、公共企事业单位信息包括曲阜汽车站和曲阜高铁客运公司信息22条；5、行政执法公示信息55条；6、</w:t>
      </w:r>
      <w:r>
        <w:rPr>
          <w:rFonts w:hint="eastAsia" w:asciiTheme="majorEastAsia" w:hAnsiTheme="majorEastAsia" w:eastAsiaTheme="majorEastAsia" w:cstheme="majorEastAsia"/>
          <w:b/>
          <w:bCs w:val="0"/>
          <w:i w:val="0"/>
          <w:iCs w:val="0"/>
          <w:caps w:val="0"/>
          <w:color w:val="333333"/>
          <w:spacing w:val="0"/>
          <w:sz w:val="32"/>
          <w:szCs w:val="32"/>
        </w:rPr>
        <w:t>公开人大代表建议和政协提案答复</w:t>
      </w:r>
      <w:r>
        <w:rPr>
          <w:rFonts w:hint="eastAsia" w:asciiTheme="majorEastAsia" w:hAnsiTheme="majorEastAsia" w:eastAsiaTheme="majorEastAsia" w:cstheme="majorEastAsia"/>
          <w:b/>
          <w:bCs w:val="0"/>
          <w:i w:val="0"/>
          <w:iCs w:val="0"/>
          <w:caps w:val="0"/>
          <w:color w:val="333333"/>
          <w:spacing w:val="0"/>
          <w:sz w:val="32"/>
          <w:szCs w:val="32"/>
          <w:lang w:val="en-US" w:eastAsia="zh-CN"/>
        </w:rPr>
        <w:t>20</w:t>
      </w:r>
      <w:r>
        <w:rPr>
          <w:rFonts w:hint="eastAsia" w:asciiTheme="majorEastAsia" w:hAnsiTheme="majorEastAsia" w:eastAsiaTheme="majorEastAsia" w:cstheme="majorEastAsia"/>
          <w:b/>
          <w:bCs w:val="0"/>
          <w:i w:val="0"/>
          <w:iCs w:val="0"/>
          <w:caps w:val="0"/>
          <w:color w:val="333333"/>
          <w:spacing w:val="0"/>
          <w:sz w:val="32"/>
          <w:szCs w:val="32"/>
        </w:rPr>
        <w:t>件</w:t>
      </w:r>
      <w:r>
        <w:rPr>
          <w:rFonts w:hint="eastAsia" w:asciiTheme="majorEastAsia" w:hAnsiTheme="majorEastAsia" w:eastAsiaTheme="majorEastAsia" w:cstheme="majorEastAsia"/>
          <w:b/>
          <w:bCs w:val="0"/>
          <w:i w:val="0"/>
          <w:iCs w:val="0"/>
          <w:caps w:val="0"/>
          <w:color w:val="333333"/>
          <w:spacing w:val="0"/>
          <w:sz w:val="32"/>
          <w:szCs w:val="32"/>
          <w:lang w:eastAsia="zh-CN"/>
        </w:rPr>
        <w:t>；</w:t>
      </w:r>
      <w:r>
        <w:rPr>
          <w:rFonts w:hint="eastAsia" w:asciiTheme="majorEastAsia" w:hAnsiTheme="majorEastAsia" w:eastAsiaTheme="majorEastAsia" w:cstheme="majorEastAsia"/>
          <w:b/>
          <w:bCs w:val="0"/>
          <w:i w:val="0"/>
          <w:iCs w:val="0"/>
          <w:caps w:val="0"/>
          <w:color w:val="333333"/>
          <w:spacing w:val="0"/>
          <w:sz w:val="32"/>
          <w:szCs w:val="32"/>
          <w:lang w:val="en-US" w:eastAsia="zh-CN"/>
        </w:rPr>
        <w:t>7、</w:t>
      </w:r>
      <w:r>
        <w:rPr>
          <w:rFonts w:hint="eastAsia" w:asciiTheme="majorEastAsia" w:hAnsiTheme="majorEastAsia" w:eastAsiaTheme="majorEastAsia" w:cstheme="majorEastAsia"/>
          <w:b/>
          <w:bCs w:val="0"/>
          <w:i w:val="0"/>
          <w:iCs w:val="0"/>
          <w:caps w:val="0"/>
          <w:color w:val="333333"/>
          <w:spacing w:val="0"/>
          <w:sz w:val="32"/>
          <w:szCs w:val="32"/>
        </w:rPr>
        <w:t>“双随机一公开”监管结果公开</w:t>
      </w:r>
      <w:r>
        <w:rPr>
          <w:rFonts w:hint="eastAsia" w:asciiTheme="majorEastAsia" w:hAnsiTheme="majorEastAsia" w:eastAsiaTheme="majorEastAsia" w:cstheme="majorEastAsia"/>
          <w:b/>
          <w:bCs w:val="0"/>
          <w:i w:val="0"/>
          <w:iCs w:val="0"/>
          <w:caps w:val="0"/>
          <w:color w:val="333333"/>
          <w:spacing w:val="0"/>
          <w:sz w:val="32"/>
          <w:szCs w:val="32"/>
          <w:lang w:val="en-US" w:eastAsia="zh-CN"/>
        </w:rPr>
        <w:t>6条信息。8、公示公告发布10条信息。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宋体" w:hAnsi="宋体" w:eastAsia="宋体" w:cs="宋体"/>
          <w:i w:val="0"/>
          <w:iCs w:val="0"/>
          <w:caps w:val="0"/>
          <w:color w:val="333333"/>
          <w:spacing w:val="0"/>
          <w:sz w:val="32"/>
          <w:szCs w:val="32"/>
          <w:lang w:val="en-US" w:eastAsia="zh-CN"/>
        </w:rPr>
      </w:pPr>
      <w:r>
        <w:rPr>
          <w:rFonts w:hint="eastAsia" w:ascii="宋体" w:hAnsi="宋体" w:eastAsia="宋体" w:cs="宋体"/>
          <w:i w:val="0"/>
          <w:iCs w:val="0"/>
          <w:caps w:val="0"/>
          <w:color w:val="333333"/>
          <w:spacing w:val="0"/>
          <w:sz w:val="32"/>
          <w:szCs w:val="32"/>
          <w:lang w:val="en-US" w:eastAsia="zh-CN"/>
        </w:rPr>
        <w:drawing>
          <wp:inline distT="0" distB="0" distL="114300" distR="114300">
            <wp:extent cx="4839970" cy="2755265"/>
            <wp:effectExtent l="0" t="0" r="17780" b="6985"/>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5"/>
                    <a:stretch>
                      <a:fillRect/>
                    </a:stretch>
                  </pic:blipFill>
                  <pic:spPr>
                    <a:xfrm>
                      <a:off x="0" y="0"/>
                      <a:ext cx="4839970" cy="2755265"/>
                    </a:xfrm>
                    <a:prstGeom prst="rect">
                      <a:avLst/>
                    </a:prstGeom>
                  </pic:spPr>
                </pic:pic>
              </a:graphicData>
            </a:graphic>
          </wp:inline>
        </w:drawing>
      </w:r>
    </w:p>
    <w:p>
      <w:pPr>
        <w:spacing w:line="590" w:lineRule="exact"/>
        <w:ind w:right="-96" w:rightChars="-50" w:firstLine="624" w:firstLineChars="200"/>
        <w:rPr>
          <w:rFonts w:hint="eastAsia" w:asciiTheme="majorEastAsia" w:hAnsiTheme="majorEastAsia" w:eastAsiaTheme="majorEastAsia" w:cstheme="majorEastAsia"/>
          <w:b/>
          <w:bCs w:val="0"/>
          <w:color w:val="000000"/>
          <w:sz w:val="32"/>
          <w:szCs w:val="32"/>
        </w:rPr>
      </w:pPr>
      <w:r>
        <w:rPr>
          <w:rFonts w:hint="eastAsia" w:asciiTheme="majorEastAsia" w:hAnsiTheme="majorEastAsia" w:eastAsiaTheme="majorEastAsia" w:cstheme="majorEastAsia"/>
          <w:b/>
          <w:bCs w:val="0"/>
          <w:color w:val="000000"/>
          <w:sz w:val="32"/>
          <w:szCs w:val="32"/>
        </w:rPr>
        <w:t>（二）依申请公开情况</w:t>
      </w:r>
    </w:p>
    <w:p>
      <w:pPr>
        <w:pStyle w:val="3"/>
        <w:keepNext w:val="0"/>
        <w:keepLines w:val="0"/>
        <w:widowControl/>
        <w:suppressLineNumbers w:val="0"/>
        <w:spacing w:before="0" w:beforeAutospacing="0" w:after="0" w:afterAutospacing="0" w:line="420" w:lineRule="atLeast"/>
        <w:ind w:right="0" w:firstLine="624" w:firstLineChars="200"/>
        <w:jc w:val="left"/>
        <w:rPr>
          <w:rFonts w:hint="eastAsia" w:asciiTheme="majorEastAsia" w:hAnsiTheme="majorEastAsia" w:eastAsiaTheme="majorEastAsia" w:cstheme="majorEastAsia"/>
          <w:b/>
          <w:bCs w:val="0"/>
          <w:i w:val="0"/>
          <w:iCs w:val="0"/>
          <w:caps w:val="0"/>
          <w:color w:val="000000"/>
          <w:spacing w:val="0"/>
          <w:sz w:val="32"/>
          <w:szCs w:val="32"/>
        </w:rPr>
      </w:pPr>
      <w:r>
        <w:rPr>
          <w:rFonts w:hint="eastAsia" w:asciiTheme="majorEastAsia" w:hAnsiTheme="majorEastAsia" w:eastAsiaTheme="majorEastAsia" w:cstheme="majorEastAsia"/>
          <w:b/>
          <w:bCs w:val="0"/>
          <w:i w:val="0"/>
          <w:iCs w:val="0"/>
          <w:caps w:val="0"/>
          <w:color w:val="000000"/>
          <w:spacing w:val="0"/>
          <w:sz w:val="32"/>
          <w:szCs w:val="32"/>
        </w:rPr>
        <w:t>202</w:t>
      </w:r>
      <w:r>
        <w:rPr>
          <w:rFonts w:hint="eastAsia" w:asciiTheme="majorEastAsia" w:hAnsiTheme="majorEastAsia" w:eastAsiaTheme="majorEastAsia" w:cstheme="majorEastAsia"/>
          <w:b/>
          <w:bCs w:val="0"/>
          <w:i w:val="0"/>
          <w:iCs w:val="0"/>
          <w:caps w:val="0"/>
          <w:color w:val="000000"/>
          <w:spacing w:val="0"/>
          <w:sz w:val="32"/>
          <w:szCs w:val="32"/>
          <w:lang w:val="en-US" w:eastAsia="zh-CN"/>
        </w:rPr>
        <w:t>3</w:t>
      </w:r>
      <w:r>
        <w:rPr>
          <w:rFonts w:hint="eastAsia" w:asciiTheme="majorEastAsia" w:hAnsiTheme="majorEastAsia" w:eastAsiaTheme="majorEastAsia" w:cstheme="majorEastAsia"/>
          <w:b/>
          <w:bCs w:val="0"/>
          <w:i w:val="0"/>
          <w:iCs w:val="0"/>
          <w:caps w:val="0"/>
          <w:color w:val="000000"/>
          <w:spacing w:val="0"/>
          <w:sz w:val="32"/>
          <w:szCs w:val="32"/>
        </w:rPr>
        <w:t>年，</w:t>
      </w:r>
      <w:r>
        <w:rPr>
          <w:rFonts w:hint="eastAsia" w:asciiTheme="majorEastAsia" w:hAnsiTheme="majorEastAsia" w:eastAsiaTheme="majorEastAsia" w:cstheme="majorEastAsia"/>
          <w:b/>
          <w:bCs w:val="0"/>
          <w:i w:val="0"/>
          <w:iCs w:val="0"/>
          <w:caps w:val="0"/>
          <w:color w:val="000000"/>
          <w:spacing w:val="0"/>
          <w:sz w:val="32"/>
          <w:szCs w:val="32"/>
          <w:lang w:val="en-US" w:eastAsia="zh-CN"/>
        </w:rPr>
        <w:t>曲阜市交通运输</w:t>
      </w:r>
      <w:r>
        <w:rPr>
          <w:rFonts w:hint="eastAsia" w:asciiTheme="majorEastAsia" w:hAnsiTheme="majorEastAsia" w:eastAsiaTheme="majorEastAsia" w:cstheme="majorEastAsia"/>
          <w:b/>
          <w:bCs w:val="0"/>
          <w:i w:val="0"/>
          <w:iCs w:val="0"/>
          <w:caps w:val="0"/>
          <w:color w:val="000000"/>
          <w:spacing w:val="0"/>
          <w:sz w:val="32"/>
          <w:szCs w:val="32"/>
        </w:rPr>
        <w:t>局收到政府信息公开申请</w:t>
      </w:r>
      <w:r>
        <w:rPr>
          <w:rFonts w:hint="eastAsia" w:asciiTheme="majorEastAsia" w:hAnsiTheme="majorEastAsia" w:eastAsiaTheme="majorEastAsia" w:cstheme="majorEastAsia"/>
          <w:b/>
          <w:bCs w:val="0"/>
          <w:i w:val="0"/>
          <w:iCs w:val="0"/>
          <w:caps w:val="0"/>
          <w:color w:val="000000"/>
          <w:spacing w:val="0"/>
          <w:sz w:val="32"/>
          <w:szCs w:val="32"/>
          <w:lang w:val="en-US" w:eastAsia="zh-CN"/>
        </w:rPr>
        <w:t>1件</w:t>
      </w:r>
      <w:r>
        <w:rPr>
          <w:rFonts w:hint="eastAsia" w:asciiTheme="majorEastAsia" w:hAnsiTheme="majorEastAsia" w:eastAsiaTheme="majorEastAsia" w:cstheme="majorEastAsia"/>
          <w:b/>
          <w:bCs w:val="0"/>
          <w:i w:val="0"/>
          <w:iCs w:val="0"/>
          <w:caps w:val="0"/>
          <w:color w:val="000000"/>
          <w:spacing w:val="0"/>
          <w:sz w:val="32"/>
          <w:szCs w:val="32"/>
        </w:rPr>
        <w:t>，</w:t>
      </w:r>
      <w:r>
        <w:rPr>
          <w:rFonts w:hint="eastAsia" w:asciiTheme="majorEastAsia" w:hAnsiTheme="majorEastAsia" w:eastAsiaTheme="majorEastAsia" w:cstheme="majorEastAsia"/>
          <w:b/>
          <w:bCs w:val="0"/>
          <w:i w:val="0"/>
          <w:iCs w:val="0"/>
          <w:caps w:val="0"/>
          <w:color w:val="424242"/>
          <w:spacing w:val="0"/>
          <w:sz w:val="32"/>
          <w:szCs w:val="32"/>
          <w:shd w:val="clear" w:fill="FFFFFF"/>
        </w:rPr>
        <w:t>已按时回复申请人，</w:t>
      </w:r>
      <w:r>
        <w:rPr>
          <w:rFonts w:hint="eastAsia" w:asciiTheme="majorEastAsia" w:hAnsiTheme="majorEastAsia" w:eastAsiaTheme="majorEastAsia" w:cstheme="majorEastAsia"/>
          <w:b/>
          <w:bCs w:val="0"/>
          <w:i w:val="0"/>
          <w:iCs w:val="0"/>
          <w:caps w:val="0"/>
          <w:color w:val="000000"/>
          <w:spacing w:val="0"/>
          <w:sz w:val="32"/>
          <w:szCs w:val="32"/>
        </w:rPr>
        <w:t>未向申请人收取任何费用，办理行政复议案件</w:t>
      </w:r>
      <w:r>
        <w:rPr>
          <w:rFonts w:hint="eastAsia" w:asciiTheme="majorEastAsia" w:hAnsiTheme="majorEastAsia" w:eastAsiaTheme="majorEastAsia" w:cstheme="majorEastAsia"/>
          <w:b/>
          <w:bCs w:val="0"/>
          <w:i w:val="0"/>
          <w:iCs w:val="0"/>
          <w:caps w:val="0"/>
          <w:color w:val="000000"/>
          <w:spacing w:val="0"/>
          <w:sz w:val="32"/>
          <w:szCs w:val="32"/>
          <w:lang w:val="en-US" w:eastAsia="zh-CN"/>
        </w:rPr>
        <w:t>0</w:t>
      </w:r>
      <w:r>
        <w:rPr>
          <w:rFonts w:hint="eastAsia" w:asciiTheme="majorEastAsia" w:hAnsiTheme="majorEastAsia" w:eastAsiaTheme="majorEastAsia" w:cstheme="majorEastAsia"/>
          <w:b/>
          <w:bCs w:val="0"/>
          <w:i w:val="0"/>
          <w:iCs w:val="0"/>
          <w:caps w:val="0"/>
          <w:color w:val="000000"/>
          <w:spacing w:val="0"/>
          <w:sz w:val="32"/>
          <w:szCs w:val="32"/>
        </w:rPr>
        <w:t>件，行政诉讼</w:t>
      </w:r>
      <w:r>
        <w:rPr>
          <w:rFonts w:hint="eastAsia" w:asciiTheme="majorEastAsia" w:hAnsiTheme="majorEastAsia" w:eastAsiaTheme="majorEastAsia" w:cstheme="majorEastAsia"/>
          <w:b/>
          <w:bCs w:val="0"/>
          <w:i w:val="0"/>
          <w:iCs w:val="0"/>
          <w:caps w:val="0"/>
          <w:color w:val="000000"/>
          <w:spacing w:val="0"/>
          <w:sz w:val="32"/>
          <w:szCs w:val="32"/>
          <w:lang w:val="en-US" w:eastAsia="zh-CN"/>
        </w:rPr>
        <w:t>0</w:t>
      </w:r>
      <w:r>
        <w:rPr>
          <w:rFonts w:hint="eastAsia" w:asciiTheme="majorEastAsia" w:hAnsiTheme="majorEastAsia" w:eastAsiaTheme="majorEastAsia" w:cstheme="majorEastAsia"/>
          <w:b/>
          <w:bCs w:val="0"/>
          <w:i w:val="0"/>
          <w:iCs w:val="0"/>
          <w:caps w:val="0"/>
          <w:color w:val="000000"/>
          <w:spacing w:val="0"/>
          <w:sz w:val="32"/>
          <w:szCs w:val="32"/>
        </w:rPr>
        <w:t>件。</w:t>
      </w:r>
    </w:p>
    <w:p>
      <w:pPr>
        <w:spacing w:line="590" w:lineRule="exact"/>
        <w:ind w:right="-96" w:rightChars="-50" w:firstLine="624" w:firstLineChars="200"/>
        <w:rPr>
          <w:rFonts w:hint="eastAsia" w:asciiTheme="majorEastAsia" w:hAnsiTheme="majorEastAsia" w:eastAsiaTheme="majorEastAsia" w:cstheme="majorEastAsia"/>
          <w:b/>
          <w:bCs w:val="0"/>
          <w:color w:val="000000"/>
          <w:sz w:val="32"/>
          <w:szCs w:val="32"/>
        </w:rPr>
      </w:pPr>
      <w:r>
        <w:rPr>
          <w:rFonts w:hint="eastAsia" w:asciiTheme="majorEastAsia" w:hAnsiTheme="majorEastAsia" w:eastAsiaTheme="majorEastAsia" w:cstheme="majorEastAsia"/>
          <w:b/>
          <w:bCs w:val="0"/>
          <w:color w:val="000000"/>
          <w:sz w:val="32"/>
          <w:szCs w:val="32"/>
        </w:rPr>
        <w:t>（三）政府信息管理情况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Theme="majorEastAsia" w:hAnsiTheme="majorEastAsia" w:eastAsiaTheme="majorEastAsia" w:cstheme="majorEastAsia"/>
          <w:b/>
          <w:bCs w:val="0"/>
          <w:i w:val="0"/>
          <w:iCs w:val="0"/>
          <w:caps w:val="0"/>
          <w:color w:val="333333"/>
          <w:spacing w:val="0"/>
          <w:sz w:val="32"/>
          <w:szCs w:val="32"/>
        </w:rPr>
      </w:pPr>
      <w:r>
        <w:rPr>
          <w:rFonts w:hint="eastAsia" w:asciiTheme="majorEastAsia" w:hAnsiTheme="majorEastAsia" w:eastAsiaTheme="majorEastAsia" w:cstheme="majorEastAsia"/>
          <w:b/>
          <w:bCs w:val="0"/>
          <w:i w:val="0"/>
          <w:iCs w:val="0"/>
          <w:caps w:val="0"/>
          <w:color w:val="333333"/>
          <w:spacing w:val="0"/>
          <w:sz w:val="32"/>
          <w:szCs w:val="32"/>
          <w:shd w:val="clear" w:fill="FFFFFF"/>
        </w:rPr>
        <w:t>2023年，</w:t>
      </w:r>
      <w:r>
        <w:rPr>
          <w:rFonts w:hint="eastAsia" w:asciiTheme="majorEastAsia" w:hAnsiTheme="majorEastAsia" w:eastAsiaTheme="majorEastAsia" w:cstheme="majorEastAsia"/>
          <w:b/>
          <w:bCs w:val="0"/>
          <w:i w:val="0"/>
          <w:iCs w:val="0"/>
          <w:caps w:val="0"/>
          <w:color w:val="333333"/>
          <w:spacing w:val="0"/>
          <w:sz w:val="32"/>
          <w:szCs w:val="32"/>
          <w:shd w:val="clear" w:fill="FFFFFF"/>
          <w:lang w:val="en-US" w:eastAsia="zh-CN"/>
        </w:rPr>
        <w:t>曲阜市交通运输</w:t>
      </w:r>
      <w:r>
        <w:rPr>
          <w:rFonts w:hint="eastAsia" w:asciiTheme="majorEastAsia" w:hAnsiTheme="majorEastAsia" w:eastAsiaTheme="majorEastAsia" w:cstheme="majorEastAsia"/>
          <w:b/>
          <w:bCs w:val="0"/>
          <w:i w:val="0"/>
          <w:iCs w:val="0"/>
          <w:caps w:val="0"/>
          <w:color w:val="333333"/>
          <w:spacing w:val="0"/>
          <w:sz w:val="32"/>
          <w:szCs w:val="32"/>
          <w:shd w:val="clear" w:fill="FFFFFF"/>
        </w:rPr>
        <w:t>局指定专人负责政府信息公开工作，由局办公室负责政府信息公开的日常工作，确保政府信息公开工作正常运转，信息公开全面、及时、准确、无差错。同时优化完善政府门户网站的政府信息公开专栏设置，加强政府信息的维护更新，落实政府信息公开常态长效管理工作。</w:t>
      </w:r>
    </w:p>
    <w:p>
      <w:pPr>
        <w:spacing w:line="590" w:lineRule="exact"/>
        <w:ind w:right="-96" w:rightChars="-50" w:firstLine="624" w:firstLineChars="200"/>
        <w:rPr>
          <w:rFonts w:hint="eastAsia" w:asciiTheme="majorEastAsia" w:hAnsiTheme="majorEastAsia" w:eastAsiaTheme="majorEastAsia" w:cstheme="majorEastAsia"/>
          <w:b/>
          <w:bCs w:val="0"/>
          <w:color w:val="000000"/>
          <w:sz w:val="32"/>
          <w:szCs w:val="32"/>
        </w:rPr>
      </w:pPr>
      <w:r>
        <w:rPr>
          <w:rFonts w:hint="eastAsia" w:asciiTheme="majorEastAsia" w:hAnsiTheme="majorEastAsia" w:eastAsiaTheme="majorEastAsia" w:cstheme="majorEastAsia"/>
          <w:b/>
          <w:bCs w:val="0"/>
          <w:color w:val="000000"/>
          <w:sz w:val="32"/>
          <w:szCs w:val="32"/>
        </w:rPr>
        <w:t>（四）政府信息公开平台建设情况</w:t>
      </w:r>
    </w:p>
    <w:p>
      <w:pPr>
        <w:spacing w:line="590" w:lineRule="exact"/>
        <w:ind w:right="-96" w:rightChars="-50" w:firstLine="624" w:firstLineChars="200"/>
        <w:rPr>
          <w:rFonts w:hint="eastAsia" w:asciiTheme="majorEastAsia" w:hAnsiTheme="majorEastAsia" w:eastAsiaTheme="majorEastAsia" w:cstheme="majorEastAsia"/>
          <w:b/>
          <w:bCs w:val="0"/>
          <w:color w:val="000000"/>
          <w:sz w:val="32"/>
          <w:szCs w:val="32"/>
        </w:rPr>
      </w:pPr>
      <w:r>
        <w:rPr>
          <w:rFonts w:hint="eastAsia" w:asciiTheme="majorEastAsia" w:hAnsiTheme="majorEastAsia" w:eastAsiaTheme="majorEastAsia" w:cstheme="majorEastAsia"/>
          <w:b/>
          <w:bCs w:val="0"/>
          <w:i w:val="0"/>
          <w:iCs w:val="0"/>
          <w:caps w:val="0"/>
          <w:color w:val="333333"/>
          <w:spacing w:val="0"/>
          <w:sz w:val="32"/>
          <w:szCs w:val="32"/>
        </w:rPr>
        <w:t>按上级要求及时增设、删除相应栏目，完善局门户网站版块建设，保证信息公开平台规范运行。</w:t>
      </w:r>
      <w:r>
        <w:rPr>
          <w:rFonts w:hint="eastAsia" w:asciiTheme="majorEastAsia" w:hAnsiTheme="majorEastAsia" w:eastAsiaTheme="majorEastAsia" w:cstheme="majorEastAsia"/>
          <w:b/>
          <w:bCs w:val="0"/>
          <w:i w:val="0"/>
          <w:iCs w:val="0"/>
          <w:caps w:val="0"/>
          <w:color w:val="000000"/>
          <w:spacing w:val="0"/>
          <w:sz w:val="32"/>
          <w:szCs w:val="32"/>
        </w:rPr>
        <w:t>依托政务公示栏、LED屏等，不断拓展线下公开渠道。</w:t>
      </w:r>
    </w:p>
    <w:p>
      <w:pPr>
        <w:spacing w:line="590" w:lineRule="exact"/>
        <w:ind w:right="-96" w:rightChars="-50" w:firstLine="624" w:firstLineChars="200"/>
        <w:rPr>
          <w:rFonts w:hint="eastAsia" w:asciiTheme="majorEastAsia" w:hAnsiTheme="majorEastAsia" w:eastAsiaTheme="majorEastAsia" w:cstheme="majorEastAsia"/>
          <w:b/>
          <w:bCs w:val="0"/>
          <w:color w:val="000000"/>
          <w:sz w:val="32"/>
          <w:szCs w:val="32"/>
        </w:rPr>
      </w:pPr>
      <w:r>
        <w:rPr>
          <w:rFonts w:hint="eastAsia" w:asciiTheme="majorEastAsia" w:hAnsiTheme="majorEastAsia" w:eastAsiaTheme="majorEastAsia" w:cstheme="majorEastAsia"/>
          <w:b/>
          <w:bCs w:val="0"/>
          <w:color w:val="000000"/>
          <w:sz w:val="32"/>
          <w:szCs w:val="32"/>
        </w:rPr>
        <w:t>（五）监督保障情况</w:t>
      </w:r>
    </w:p>
    <w:p>
      <w:pPr>
        <w:spacing w:line="590" w:lineRule="exact"/>
        <w:ind w:right="-96" w:rightChars="-50" w:firstLine="624" w:firstLineChars="200"/>
        <w:rPr>
          <w:rFonts w:hint="eastAsia" w:ascii="宋体" w:hAnsi="宋体" w:eastAsia="宋体" w:cs="宋体"/>
          <w:b/>
          <w:color w:val="000000"/>
          <w:sz w:val="32"/>
          <w:szCs w:val="32"/>
        </w:rPr>
      </w:pPr>
      <w:r>
        <w:rPr>
          <w:rFonts w:hint="eastAsia" w:asciiTheme="majorEastAsia" w:hAnsiTheme="majorEastAsia" w:eastAsiaTheme="majorEastAsia" w:cstheme="majorEastAsia"/>
          <w:b/>
          <w:bCs w:val="0"/>
          <w:i w:val="0"/>
          <w:iCs w:val="0"/>
          <w:caps w:val="0"/>
          <w:color w:val="0C0C0C"/>
          <w:spacing w:val="0"/>
          <w:sz w:val="32"/>
          <w:szCs w:val="32"/>
          <w:u w:val="none"/>
          <w:shd w:val="clear" w:fill="FFFFFF"/>
        </w:rPr>
        <w:t>建立政务公开领导小组，将政务公开时效实效、内容质量、公开流程等纳入局年度考评，对公开不及时、质量不高等情况的进行约谈，对出现严重问题或泄密的进行责任追究，全年未发生信息公开责任追究情况。同时，对在</w:t>
      </w:r>
      <w:r>
        <w:rPr>
          <w:rFonts w:hint="eastAsia" w:asciiTheme="majorEastAsia" w:hAnsiTheme="majorEastAsia" w:eastAsiaTheme="majorEastAsia" w:cstheme="majorEastAsia"/>
          <w:b/>
          <w:bCs w:val="0"/>
          <w:i w:val="0"/>
          <w:iCs w:val="0"/>
          <w:caps w:val="0"/>
          <w:color w:val="0C0C0C"/>
          <w:spacing w:val="0"/>
          <w:sz w:val="32"/>
          <w:szCs w:val="32"/>
          <w:u w:val="none"/>
          <w:shd w:val="clear" w:fill="FFFFFF"/>
          <w:lang w:val="en-US" w:eastAsia="zh-CN"/>
        </w:rPr>
        <w:t>交通运输</w:t>
      </w:r>
      <w:r>
        <w:rPr>
          <w:rFonts w:hint="eastAsia" w:asciiTheme="majorEastAsia" w:hAnsiTheme="majorEastAsia" w:eastAsiaTheme="majorEastAsia" w:cstheme="majorEastAsia"/>
          <w:b/>
          <w:bCs w:val="0"/>
          <w:i w:val="0"/>
          <w:iCs w:val="0"/>
          <w:caps w:val="0"/>
          <w:color w:val="0C0C0C"/>
          <w:spacing w:val="0"/>
          <w:sz w:val="32"/>
          <w:szCs w:val="32"/>
          <w:u w:val="none"/>
          <w:shd w:val="clear" w:fill="FFFFFF"/>
        </w:rPr>
        <w:t>领域的突发事件、热点事情、敏感问题，及时主动发布权威信息，正确引导舆论、回应社会关切，建立健</w:t>
      </w:r>
      <w:r>
        <w:rPr>
          <w:rFonts w:hint="eastAsia" w:asciiTheme="majorEastAsia" w:hAnsiTheme="majorEastAsia" w:eastAsiaTheme="majorEastAsia" w:cstheme="majorEastAsia"/>
          <w:b/>
          <w:bCs w:val="0"/>
          <w:i w:val="0"/>
          <w:iCs w:val="0"/>
          <w:caps w:val="0"/>
          <w:color w:val="0C0C0C"/>
          <w:spacing w:val="0"/>
          <w:sz w:val="32"/>
          <w:szCs w:val="32"/>
          <w:u w:val="none"/>
          <w:shd w:val="clear" w:fill="FFFFFF"/>
          <w:lang w:val="en-US" w:eastAsia="zh-CN"/>
        </w:rPr>
        <w:t>全交通运输</w:t>
      </w:r>
      <w:r>
        <w:rPr>
          <w:rFonts w:hint="eastAsia" w:asciiTheme="majorEastAsia" w:hAnsiTheme="majorEastAsia" w:eastAsiaTheme="majorEastAsia" w:cstheme="majorEastAsia"/>
          <w:b/>
          <w:bCs w:val="0"/>
          <w:i w:val="0"/>
          <w:iCs w:val="0"/>
          <w:caps w:val="0"/>
          <w:color w:val="0C0C0C"/>
          <w:spacing w:val="0"/>
          <w:sz w:val="32"/>
          <w:szCs w:val="32"/>
          <w:u w:val="none"/>
          <w:shd w:val="clear" w:fill="FFFFFF"/>
        </w:rPr>
        <w:t>领域政府信息公开社会评价体</w:t>
      </w:r>
      <w:r>
        <w:rPr>
          <w:rFonts w:hint="eastAsia" w:ascii="宋体" w:hAnsi="宋体" w:eastAsia="宋体" w:cs="宋体"/>
          <w:b/>
          <w:bCs/>
          <w:i w:val="0"/>
          <w:iCs w:val="0"/>
          <w:caps w:val="0"/>
          <w:color w:val="0C0C0C"/>
          <w:spacing w:val="0"/>
          <w:sz w:val="32"/>
          <w:szCs w:val="32"/>
          <w:u w:val="none"/>
          <w:shd w:val="clear" w:fill="FFFFFF"/>
        </w:rPr>
        <w:t>系。</w:t>
      </w:r>
    </w:p>
    <w:p>
      <w:pPr>
        <w:numPr>
          <w:ilvl w:val="0"/>
          <w:numId w:val="1"/>
        </w:numPr>
        <w:spacing w:line="590" w:lineRule="exact"/>
        <w:ind w:right="-96" w:rightChars="-50" w:firstLine="624" w:firstLineChars="200"/>
        <w:rPr>
          <w:rFonts w:hint="default" w:ascii="黑体" w:hAnsi="黑体" w:eastAsia="黑体" w:cs="黑体"/>
          <w:b/>
          <w:color w:val="000000"/>
          <w:sz w:val="18"/>
          <w:szCs w:val="18"/>
        </w:rPr>
      </w:pPr>
      <w:r>
        <w:rPr>
          <w:rFonts w:hint="eastAsia" w:ascii="黑体" w:hAnsi="黑体" w:eastAsia="黑体" w:cs="黑体"/>
          <w:b/>
          <w:color w:val="000000"/>
          <w:sz w:val="32"/>
          <w:szCs w:val="32"/>
        </w:rPr>
        <w:t>主动公开政府信息情况</w:t>
      </w:r>
    </w:p>
    <w:p>
      <w:pPr>
        <w:numPr>
          <w:ilvl w:val="0"/>
          <w:numId w:val="0"/>
        </w:numPr>
        <w:spacing w:line="590" w:lineRule="exact"/>
        <w:ind w:right="-96" w:rightChars="-50"/>
        <w:rPr>
          <w:rFonts w:hint="default" w:ascii="黑体" w:hAnsi="黑体" w:eastAsia="黑体" w:cs="黑体"/>
          <w:b/>
          <w:color w:val="000000"/>
          <w:sz w:val="18"/>
          <w:szCs w:val="18"/>
        </w:rPr>
      </w:pPr>
    </w:p>
    <w:tbl>
      <w:tblPr>
        <w:tblStyle w:val="4"/>
        <w:tblW w:w="9060" w:type="dxa"/>
        <w:jc w:val="center"/>
        <w:tblLayout w:type="fixed"/>
        <w:tblCellMar>
          <w:top w:w="0" w:type="dxa"/>
          <w:left w:w="108" w:type="dxa"/>
          <w:bottom w:w="0" w:type="dxa"/>
          <w:right w:w="108" w:type="dxa"/>
        </w:tblCellMar>
      </w:tblPr>
      <w:tblGrid>
        <w:gridCol w:w="2265"/>
        <w:gridCol w:w="2265"/>
        <w:gridCol w:w="2265"/>
        <w:gridCol w:w="2265"/>
      </w:tblGrid>
      <w:tr>
        <w:tblPrEx>
          <w:tblCellMar>
            <w:top w:w="0" w:type="dxa"/>
            <w:left w:w="108" w:type="dxa"/>
            <w:bottom w:w="0" w:type="dxa"/>
            <w:right w:w="108" w:type="dxa"/>
          </w:tblCellMar>
        </w:tblPrEx>
        <w:trPr>
          <w:trHeight w:val="567" w:hRule="atLeast"/>
          <w:jc w:val="center"/>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tblPrEx>
          <w:tblCellMar>
            <w:top w:w="0" w:type="dxa"/>
            <w:left w:w="108" w:type="dxa"/>
            <w:bottom w:w="0" w:type="dxa"/>
            <w:right w:w="108" w:type="dxa"/>
          </w:tblCellMar>
        </w:tblPrEx>
        <w:trPr>
          <w:trHeight w:val="567" w:hRule="atLeast"/>
          <w:jc w:val="center"/>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2265"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本年制发件数</w:t>
            </w:r>
          </w:p>
        </w:tc>
        <w:tc>
          <w:tcPr>
            <w:tcW w:w="2265"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本年废止件数</w:t>
            </w:r>
          </w:p>
        </w:tc>
        <w:tc>
          <w:tcPr>
            <w:tcW w:w="2265"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现行有效件数</w:t>
            </w:r>
          </w:p>
        </w:tc>
      </w:tr>
      <w:tr>
        <w:tblPrEx>
          <w:tblCellMar>
            <w:top w:w="0" w:type="dxa"/>
            <w:left w:w="108" w:type="dxa"/>
            <w:bottom w:w="0" w:type="dxa"/>
            <w:right w:w="108" w:type="dxa"/>
          </w:tblCellMar>
        </w:tblPrEx>
        <w:trPr>
          <w:trHeight w:val="567" w:hRule="atLeast"/>
          <w:jc w:val="center"/>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规章</w:t>
            </w:r>
          </w:p>
        </w:tc>
        <w:tc>
          <w:tcPr>
            <w:tcW w:w="2265" w:type="dxa"/>
            <w:tcBorders>
              <w:top w:val="nil"/>
              <w:left w:val="nil"/>
              <w:bottom w:val="single" w:color="auto" w:sz="8" w:space="0"/>
              <w:right w:val="single" w:color="auto" w:sz="8" w:space="0"/>
            </w:tcBorders>
            <w:shd w:val="clear" w:color="auto" w:fill="auto"/>
            <w:vAlign w:val="center"/>
          </w:tcPr>
          <w:p>
            <w:pPr>
              <w:widowControl/>
              <w:jc w:val="center"/>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pPr>
              <w:widowControl/>
              <w:jc w:val="center"/>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pPr>
              <w:widowControl/>
              <w:jc w:val="center"/>
              <w:rPr>
                <w:rFonts w:hint="default"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r>
        <w:tblPrEx>
          <w:tblCellMar>
            <w:top w:w="0" w:type="dxa"/>
            <w:left w:w="108" w:type="dxa"/>
            <w:bottom w:w="0" w:type="dxa"/>
            <w:right w:w="108" w:type="dxa"/>
          </w:tblCellMar>
        </w:tblPrEx>
        <w:trPr>
          <w:trHeight w:val="567" w:hRule="atLeast"/>
          <w:jc w:val="center"/>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行政规范性文件</w:t>
            </w:r>
          </w:p>
        </w:tc>
        <w:tc>
          <w:tcPr>
            <w:tcW w:w="2265" w:type="dxa"/>
            <w:tcBorders>
              <w:top w:val="nil"/>
              <w:left w:val="nil"/>
              <w:bottom w:val="single" w:color="auto" w:sz="8" w:space="0"/>
              <w:right w:val="single" w:color="auto" w:sz="8" w:space="0"/>
            </w:tcBorders>
            <w:shd w:val="clear" w:color="auto" w:fill="auto"/>
            <w:vAlign w:val="center"/>
          </w:tcPr>
          <w:p>
            <w:pPr>
              <w:widowControl/>
              <w:jc w:val="center"/>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pPr>
              <w:widowControl/>
              <w:jc w:val="center"/>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pPr>
              <w:widowControl/>
              <w:jc w:val="center"/>
              <w:rPr>
                <w:rFonts w:hint="default"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r>
        <w:tblPrEx>
          <w:tblCellMar>
            <w:top w:w="0" w:type="dxa"/>
            <w:left w:w="108" w:type="dxa"/>
            <w:bottom w:w="0" w:type="dxa"/>
            <w:right w:w="108" w:type="dxa"/>
          </w:tblCellMar>
        </w:tblPrEx>
        <w:trPr>
          <w:trHeight w:val="567" w:hRule="atLeast"/>
          <w:jc w:val="center"/>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第二十条第（五）项</w:t>
            </w:r>
          </w:p>
        </w:tc>
      </w:tr>
      <w:tr>
        <w:tblPrEx>
          <w:tblCellMar>
            <w:top w:w="0" w:type="dxa"/>
            <w:left w:w="108" w:type="dxa"/>
            <w:bottom w:w="0" w:type="dxa"/>
            <w:right w:w="108" w:type="dxa"/>
          </w:tblCellMar>
        </w:tblPrEx>
        <w:trPr>
          <w:trHeight w:val="567" w:hRule="atLeast"/>
          <w:jc w:val="center"/>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tblPrEx>
          <w:tblCellMar>
            <w:top w:w="0" w:type="dxa"/>
            <w:left w:w="108" w:type="dxa"/>
            <w:bottom w:w="0" w:type="dxa"/>
            <w:right w:w="108" w:type="dxa"/>
          </w:tblCellMar>
        </w:tblPrEx>
        <w:trPr>
          <w:trHeight w:val="567" w:hRule="atLeast"/>
          <w:jc w:val="center"/>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行政许可</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default"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r>
        <w:tblPrEx>
          <w:tblCellMar>
            <w:top w:w="0" w:type="dxa"/>
            <w:left w:w="108" w:type="dxa"/>
            <w:bottom w:w="0" w:type="dxa"/>
            <w:right w:w="108" w:type="dxa"/>
          </w:tblCellMar>
        </w:tblPrEx>
        <w:trPr>
          <w:trHeight w:val="567" w:hRule="atLeast"/>
          <w:jc w:val="center"/>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第二十条第（六）项</w:t>
            </w:r>
          </w:p>
        </w:tc>
      </w:tr>
      <w:tr>
        <w:tblPrEx>
          <w:tblCellMar>
            <w:top w:w="0" w:type="dxa"/>
            <w:left w:w="108" w:type="dxa"/>
            <w:bottom w:w="0" w:type="dxa"/>
            <w:right w:w="108" w:type="dxa"/>
          </w:tblCellMar>
        </w:tblPrEx>
        <w:trPr>
          <w:trHeight w:val="567" w:hRule="atLeast"/>
          <w:jc w:val="center"/>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tblPrEx>
          <w:tblCellMar>
            <w:top w:w="0" w:type="dxa"/>
            <w:left w:w="108" w:type="dxa"/>
            <w:bottom w:w="0" w:type="dxa"/>
            <w:right w:w="108" w:type="dxa"/>
          </w:tblCellMar>
        </w:tblPrEx>
        <w:trPr>
          <w:trHeight w:val="567" w:hRule="atLeast"/>
          <w:jc w:val="center"/>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行政处罚</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1128</w:t>
            </w:r>
          </w:p>
        </w:tc>
      </w:tr>
      <w:tr>
        <w:tblPrEx>
          <w:tblCellMar>
            <w:top w:w="0" w:type="dxa"/>
            <w:left w:w="108" w:type="dxa"/>
            <w:bottom w:w="0" w:type="dxa"/>
            <w:right w:w="108" w:type="dxa"/>
          </w:tblCellMar>
        </w:tblPrEx>
        <w:trPr>
          <w:trHeight w:val="567" w:hRule="atLeast"/>
          <w:jc w:val="center"/>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行政强制</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205</w:t>
            </w:r>
          </w:p>
        </w:tc>
      </w:tr>
      <w:tr>
        <w:tblPrEx>
          <w:tblCellMar>
            <w:top w:w="0" w:type="dxa"/>
            <w:left w:w="108" w:type="dxa"/>
            <w:bottom w:w="0" w:type="dxa"/>
            <w:right w:w="108" w:type="dxa"/>
          </w:tblCellMar>
        </w:tblPrEx>
        <w:trPr>
          <w:trHeight w:val="567" w:hRule="atLeast"/>
          <w:jc w:val="center"/>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第二十条第（八）项</w:t>
            </w:r>
          </w:p>
        </w:tc>
      </w:tr>
      <w:tr>
        <w:tblPrEx>
          <w:tblCellMar>
            <w:top w:w="0" w:type="dxa"/>
            <w:left w:w="108" w:type="dxa"/>
            <w:bottom w:w="0" w:type="dxa"/>
            <w:right w:w="108" w:type="dxa"/>
          </w:tblCellMar>
        </w:tblPrEx>
        <w:trPr>
          <w:trHeight w:val="567" w:hRule="atLeast"/>
          <w:jc w:val="center"/>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本年收费金额（单位：万元）</w:t>
            </w:r>
          </w:p>
        </w:tc>
      </w:tr>
      <w:tr>
        <w:tblPrEx>
          <w:tblCellMar>
            <w:top w:w="0" w:type="dxa"/>
            <w:left w:w="108" w:type="dxa"/>
            <w:bottom w:w="0" w:type="dxa"/>
            <w:right w:w="108" w:type="dxa"/>
          </w:tblCellMar>
        </w:tblPrEx>
        <w:trPr>
          <w:trHeight w:val="567" w:hRule="atLeast"/>
          <w:jc w:val="center"/>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行政事业性收费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default"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bl>
    <w:p>
      <w:pPr>
        <w:spacing w:before="62" w:beforeLines="10" w:after="62" w:afterLines="10" w:line="600" w:lineRule="exact"/>
        <w:rPr>
          <w:rFonts w:hint="default" w:ascii="Times New Roman" w:hAnsi="Times New Roman" w:eastAsia="方正黑体简体" w:cs="Times New Roman"/>
          <w:b/>
          <w:sz w:val="32"/>
          <w:szCs w:val="32"/>
          <w:lang w:val="en-US" w:eastAsia="zh-CN"/>
        </w:rPr>
      </w:pPr>
    </w:p>
    <w:p>
      <w:pPr>
        <w:numPr>
          <w:ilvl w:val="0"/>
          <w:numId w:val="2"/>
        </w:numPr>
        <w:spacing w:before="62" w:beforeLines="10" w:after="62" w:afterLines="10" w:line="600" w:lineRule="exact"/>
        <w:ind w:firstLine="624" w:firstLineChars="200"/>
        <w:rPr>
          <w:rFonts w:hint="eastAsia" w:ascii="黑体" w:hAnsi="黑体" w:eastAsia="黑体" w:cs="黑体"/>
          <w:b/>
          <w:sz w:val="32"/>
          <w:szCs w:val="32"/>
        </w:rPr>
      </w:pPr>
      <w:r>
        <w:rPr>
          <w:rFonts w:hint="eastAsia" w:ascii="黑体" w:hAnsi="黑体" w:eastAsia="黑体" w:cs="黑体"/>
          <w:b/>
          <w:sz w:val="32"/>
          <w:szCs w:val="32"/>
        </w:rPr>
        <w:t>收到和处理政府信息公开申请情况</w:t>
      </w:r>
    </w:p>
    <w:p>
      <w:pPr>
        <w:numPr>
          <w:ilvl w:val="0"/>
          <w:numId w:val="0"/>
        </w:numPr>
        <w:spacing w:before="62" w:beforeLines="10" w:after="62" w:afterLines="10" w:line="600" w:lineRule="exact"/>
        <w:rPr>
          <w:rFonts w:hint="eastAsia" w:ascii="黑体" w:hAnsi="黑体" w:eastAsia="黑体" w:cs="黑体"/>
          <w:b/>
          <w:sz w:val="32"/>
          <w:szCs w:val="32"/>
        </w:rPr>
      </w:pPr>
    </w:p>
    <w:tbl>
      <w:tblPr>
        <w:tblStyle w:val="4"/>
        <w:tblW w:w="99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829"/>
        <w:gridCol w:w="567"/>
        <w:gridCol w:w="567"/>
        <w:gridCol w:w="731"/>
        <w:gridCol w:w="708"/>
        <w:gridCol w:w="567"/>
        <w:gridCol w:w="85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shd w:val="clear" w:color="auto" w:fill="auto"/>
            <w:tcMar>
              <w:left w:w="108" w:type="dxa"/>
              <w:right w:w="108" w:type="dxa"/>
            </w:tcMar>
            <w:vAlign w:val="center"/>
          </w:tcPr>
          <w:p>
            <w:pPr>
              <w:widowControl/>
              <w:jc w:val="center"/>
              <w:rPr>
                <w:rFonts w:ascii="仿宋_GB2312" w:hAnsi="Times New Roman" w:eastAsia="仿宋_GB2312"/>
                <w:szCs w:val="21"/>
              </w:rPr>
            </w:pPr>
            <w:bookmarkStart w:id="10" w:name="_GoBack"/>
            <w:r>
              <w:rPr>
                <w:rFonts w:hint="eastAsia" w:ascii="楷体_GB2312" w:hAnsi="黑体" w:eastAsia="楷体_GB2312"/>
                <w:kern w:val="0"/>
                <w:szCs w:val="21"/>
              </w:rPr>
              <w:t>（本列数据的勾稽关系为：第一项加第二项之和，等于第三项加第四项之和）</w:t>
            </w:r>
          </w:p>
        </w:tc>
        <w:tc>
          <w:tcPr>
            <w:tcW w:w="4820" w:type="dxa"/>
            <w:gridSpan w:val="7"/>
            <w:shd w:val="clear" w:color="auto" w:fill="auto"/>
            <w:tcMar>
              <w:left w:w="108" w:type="dxa"/>
              <w:right w:w="108" w:type="dxa"/>
            </w:tcMar>
            <w:vAlign w:val="center"/>
          </w:tcPr>
          <w:p>
            <w:pPr>
              <w:widowControl/>
              <w:spacing w:line="320" w:lineRule="exact"/>
              <w:jc w:val="center"/>
              <w:rPr>
                <w:rFonts w:ascii="黑体" w:hAnsi="黑体" w:eastAsia="黑体"/>
                <w:szCs w:val="21"/>
              </w:rPr>
            </w:pPr>
            <w:r>
              <w:rPr>
                <w:rFonts w:hint="eastAsia" w:ascii="黑体" w:hAnsi="黑体" w:eastAsia="黑体"/>
                <w:kern w:val="0"/>
                <w:szCs w:val="21"/>
              </w:rPr>
              <w:t>申请人情况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shd w:val="clear" w:color="auto" w:fill="auto"/>
            <w:tcMar>
              <w:left w:w="108" w:type="dxa"/>
              <w:right w:w="108" w:type="dxa"/>
            </w:tcMar>
            <w:vAlign w:val="center"/>
          </w:tcPr>
          <w:p>
            <w:pPr>
              <w:jc w:val="center"/>
              <w:rPr>
                <w:rFonts w:ascii="仿宋_GB2312" w:hAnsi="Times New Roman" w:eastAsia="仿宋_GB2312"/>
                <w:szCs w:val="21"/>
              </w:rPr>
            </w:pPr>
          </w:p>
        </w:tc>
        <w:tc>
          <w:tcPr>
            <w:tcW w:w="829" w:type="dxa"/>
            <w:vMerge w:val="restart"/>
            <w:shd w:val="clear" w:color="auto" w:fill="auto"/>
            <w:tcMar>
              <w:left w:w="108" w:type="dxa"/>
              <w:right w:w="108" w:type="dxa"/>
            </w:tcMar>
            <w:vAlign w:val="center"/>
          </w:tcPr>
          <w:p>
            <w:pPr>
              <w:widowControl/>
              <w:jc w:val="center"/>
              <w:rPr>
                <w:rFonts w:ascii="黑体" w:hAnsi="黑体" w:eastAsia="黑体"/>
                <w:szCs w:val="21"/>
              </w:rPr>
            </w:pPr>
            <w:r>
              <w:rPr>
                <w:rFonts w:hint="eastAsia" w:ascii="黑体" w:hAnsi="黑体" w:eastAsia="黑体"/>
                <w:kern w:val="0"/>
                <w:szCs w:val="21"/>
              </w:rPr>
              <w:t>自然人</w:t>
            </w:r>
          </w:p>
        </w:tc>
        <w:tc>
          <w:tcPr>
            <w:tcW w:w="3140" w:type="dxa"/>
            <w:gridSpan w:val="5"/>
            <w:shd w:val="clear" w:color="auto" w:fill="auto"/>
            <w:tcMar>
              <w:left w:w="108" w:type="dxa"/>
              <w:right w:w="108" w:type="dxa"/>
            </w:tcMar>
            <w:vAlign w:val="center"/>
          </w:tcPr>
          <w:p>
            <w:pPr>
              <w:widowControl/>
              <w:spacing w:line="320" w:lineRule="exact"/>
              <w:jc w:val="center"/>
              <w:rPr>
                <w:rFonts w:ascii="黑体" w:hAnsi="黑体" w:eastAsia="黑体"/>
                <w:szCs w:val="21"/>
              </w:rPr>
            </w:pPr>
            <w:r>
              <w:rPr>
                <w:rFonts w:hint="eastAsia" w:ascii="黑体" w:hAnsi="黑体" w:eastAsia="黑体"/>
                <w:kern w:val="0"/>
                <w:szCs w:val="21"/>
              </w:rPr>
              <w:t>法人或其他组织</w:t>
            </w:r>
          </w:p>
        </w:tc>
        <w:tc>
          <w:tcPr>
            <w:tcW w:w="851" w:type="dxa"/>
            <w:vMerge w:val="restart"/>
            <w:shd w:val="clear" w:color="auto" w:fill="auto"/>
            <w:tcMar>
              <w:left w:w="108" w:type="dxa"/>
              <w:right w:w="108" w:type="dxa"/>
            </w:tcMar>
            <w:vAlign w:val="center"/>
          </w:tcPr>
          <w:p>
            <w:pPr>
              <w:widowControl/>
              <w:jc w:val="center"/>
              <w:rPr>
                <w:rFonts w:ascii="黑体" w:hAnsi="黑体" w:eastAsia="黑体"/>
                <w:szCs w:val="21"/>
              </w:rPr>
            </w:pPr>
            <w:r>
              <w:rPr>
                <w:rFonts w:hint="eastAsia" w:ascii="黑体" w:hAnsi="黑体" w:eastAsia="黑体"/>
                <w:kern w:val="0"/>
                <w:szCs w:val="21"/>
              </w:rPr>
              <w:t>总计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shd w:val="clear" w:color="auto" w:fill="auto"/>
            <w:tcMar>
              <w:left w:w="108" w:type="dxa"/>
              <w:right w:w="108" w:type="dxa"/>
            </w:tcMar>
            <w:vAlign w:val="center"/>
          </w:tcPr>
          <w:p>
            <w:pPr>
              <w:jc w:val="center"/>
              <w:rPr>
                <w:rFonts w:ascii="仿宋_GB2312" w:hAnsi="Times New Roman" w:eastAsia="仿宋_GB2312"/>
                <w:szCs w:val="21"/>
              </w:rPr>
            </w:pPr>
          </w:p>
        </w:tc>
        <w:tc>
          <w:tcPr>
            <w:tcW w:w="829" w:type="dxa"/>
            <w:vMerge w:val="continue"/>
            <w:shd w:val="clear" w:color="auto" w:fill="auto"/>
            <w:tcMar>
              <w:left w:w="108" w:type="dxa"/>
              <w:right w:w="108" w:type="dxa"/>
            </w:tcMar>
            <w:vAlign w:val="center"/>
          </w:tcPr>
          <w:p>
            <w:pPr>
              <w:jc w:val="center"/>
              <w:rPr>
                <w:rFonts w:ascii="黑体" w:hAnsi="黑体" w:eastAsia="黑体"/>
                <w:szCs w:val="21"/>
              </w:rPr>
            </w:pPr>
          </w:p>
        </w:tc>
        <w:tc>
          <w:tcPr>
            <w:tcW w:w="567" w:type="dxa"/>
            <w:shd w:val="clear" w:color="auto" w:fill="auto"/>
            <w:tcMar>
              <w:left w:w="108" w:type="dxa"/>
              <w:right w:w="108" w:type="dxa"/>
            </w:tcMar>
            <w:vAlign w:val="center"/>
          </w:tcPr>
          <w:p>
            <w:pPr>
              <w:widowControl/>
              <w:spacing w:line="320" w:lineRule="exact"/>
              <w:ind w:left="-96" w:leftChars="-51" w:right="-97" w:rightChars="-51" w:hanging="1"/>
              <w:jc w:val="center"/>
              <w:rPr>
                <w:rFonts w:ascii="黑体" w:hAnsi="黑体" w:eastAsia="黑体"/>
                <w:szCs w:val="21"/>
              </w:rPr>
            </w:pPr>
            <w:r>
              <w:rPr>
                <w:rFonts w:hint="eastAsia" w:ascii="黑体" w:hAnsi="黑体" w:eastAsia="黑体"/>
                <w:kern w:val="0"/>
                <w:szCs w:val="21"/>
              </w:rPr>
              <w:t>商业企业</w:t>
            </w:r>
          </w:p>
        </w:tc>
        <w:tc>
          <w:tcPr>
            <w:tcW w:w="567" w:type="dxa"/>
            <w:shd w:val="clear" w:color="auto" w:fill="auto"/>
            <w:tcMar>
              <w:left w:w="108" w:type="dxa"/>
              <w:right w:w="108" w:type="dxa"/>
            </w:tcMar>
            <w:vAlign w:val="center"/>
          </w:tcPr>
          <w:p>
            <w:pPr>
              <w:widowControl/>
              <w:spacing w:line="320" w:lineRule="exact"/>
              <w:ind w:left="-97" w:leftChars="-51" w:right="-97" w:rightChars="-51"/>
              <w:jc w:val="center"/>
              <w:rPr>
                <w:rFonts w:ascii="黑体" w:hAnsi="黑体" w:eastAsia="黑体"/>
                <w:szCs w:val="21"/>
              </w:rPr>
            </w:pPr>
            <w:r>
              <w:rPr>
                <w:rFonts w:hint="eastAsia" w:ascii="黑体" w:hAnsi="黑体" w:eastAsia="黑体"/>
                <w:kern w:val="0"/>
                <w:szCs w:val="21"/>
              </w:rPr>
              <w:t>科研机构</w:t>
            </w:r>
          </w:p>
        </w:tc>
        <w:tc>
          <w:tcPr>
            <w:tcW w:w="731" w:type="dxa"/>
            <w:shd w:val="clear" w:color="auto" w:fill="auto"/>
            <w:tcMar>
              <w:left w:w="108" w:type="dxa"/>
              <w:right w:w="108" w:type="dxa"/>
            </w:tcMar>
            <w:vAlign w:val="center"/>
          </w:tcPr>
          <w:p>
            <w:pPr>
              <w:widowControl/>
              <w:spacing w:line="320" w:lineRule="exact"/>
              <w:ind w:left="-97" w:leftChars="-51" w:right="-97" w:rightChars="-51"/>
              <w:jc w:val="center"/>
              <w:rPr>
                <w:rFonts w:ascii="黑体" w:hAnsi="黑体" w:eastAsia="黑体"/>
                <w:szCs w:val="21"/>
              </w:rPr>
            </w:pPr>
            <w:r>
              <w:rPr>
                <w:rFonts w:hint="eastAsia" w:ascii="黑体" w:hAnsi="黑体" w:eastAsia="黑体"/>
                <w:kern w:val="0"/>
                <w:szCs w:val="21"/>
              </w:rPr>
              <w:t>社会公益组织</w:t>
            </w:r>
          </w:p>
        </w:tc>
        <w:tc>
          <w:tcPr>
            <w:tcW w:w="708" w:type="dxa"/>
            <w:shd w:val="clear" w:color="auto" w:fill="auto"/>
            <w:tcMar>
              <w:left w:w="108" w:type="dxa"/>
              <w:right w:w="108" w:type="dxa"/>
            </w:tcMar>
            <w:vAlign w:val="center"/>
          </w:tcPr>
          <w:p>
            <w:pPr>
              <w:widowControl/>
              <w:spacing w:line="320" w:lineRule="exact"/>
              <w:ind w:left="-96" w:leftChars="-51" w:right="-97" w:rightChars="-51" w:hanging="1"/>
              <w:jc w:val="center"/>
              <w:rPr>
                <w:rFonts w:ascii="黑体" w:hAnsi="黑体" w:eastAsia="黑体"/>
                <w:szCs w:val="21"/>
              </w:rPr>
            </w:pPr>
            <w:r>
              <w:rPr>
                <w:rFonts w:hint="eastAsia" w:ascii="黑体" w:hAnsi="黑体" w:eastAsia="黑体"/>
                <w:kern w:val="0"/>
                <w:szCs w:val="21"/>
              </w:rPr>
              <w:t>法律服务机构</w:t>
            </w:r>
          </w:p>
        </w:tc>
        <w:tc>
          <w:tcPr>
            <w:tcW w:w="567" w:type="dxa"/>
            <w:shd w:val="clear" w:color="auto" w:fill="auto"/>
            <w:tcMar>
              <w:left w:w="108" w:type="dxa"/>
              <w:right w:w="108" w:type="dxa"/>
            </w:tcMar>
            <w:vAlign w:val="center"/>
          </w:tcPr>
          <w:p>
            <w:pPr>
              <w:widowControl/>
              <w:spacing w:line="360" w:lineRule="exact"/>
              <w:ind w:left="-57" w:leftChars="-30" w:right="-122" w:rightChars="-64"/>
              <w:jc w:val="center"/>
              <w:rPr>
                <w:rFonts w:ascii="黑体" w:hAnsi="黑体" w:eastAsia="黑体"/>
                <w:szCs w:val="21"/>
              </w:rPr>
            </w:pPr>
            <w:r>
              <w:rPr>
                <w:rFonts w:hint="eastAsia" w:ascii="黑体" w:hAnsi="黑体" w:eastAsia="黑体"/>
                <w:kern w:val="0"/>
                <w:szCs w:val="21"/>
              </w:rPr>
              <w:t>其他</w:t>
            </w:r>
          </w:p>
        </w:tc>
        <w:tc>
          <w:tcPr>
            <w:tcW w:w="851" w:type="dxa"/>
            <w:vMerge w:val="continue"/>
            <w:shd w:val="clear" w:color="auto" w:fill="auto"/>
            <w:tcMar>
              <w:left w:w="108" w:type="dxa"/>
              <w:right w:w="108" w:type="dxa"/>
            </w:tcMar>
            <w:vAlign w:val="center"/>
          </w:tcPr>
          <w:p>
            <w:pPr>
              <w:jc w:val="center"/>
              <w:rPr>
                <w:rFonts w:ascii="仿宋_GB2312" w:hAnsi="Times New Roman"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一、</w:t>
            </w:r>
            <w:bookmarkStart w:id="0" w:name="_Hlk66973412"/>
            <w:r>
              <w:rPr>
                <w:rFonts w:hint="eastAsia" w:ascii="黑体" w:hAnsi="黑体" w:eastAsia="黑体"/>
                <w:kern w:val="0"/>
                <w:szCs w:val="21"/>
              </w:rPr>
              <w:t>本年新收政府信息公开申请数量</w:t>
            </w:r>
            <w:bookmarkEnd w:id="0"/>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1</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二、上年结转政府信息公开申请数量</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shd w:val="clear" w:color="auto" w:fill="auto"/>
            <w:tcMar>
              <w:left w:w="108" w:type="dxa"/>
              <w:right w:w="108" w:type="dxa"/>
            </w:tcMar>
            <w:vAlign w:val="center"/>
          </w:tcPr>
          <w:p>
            <w:pPr>
              <w:widowControl/>
              <w:spacing w:after="180"/>
              <w:rPr>
                <w:rFonts w:ascii="黑体" w:hAnsi="黑体" w:eastAsia="黑体"/>
                <w:szCs w:val="21"/>
              </w:rPr>
            </w:pPr>
            <w:r>
              <w:rPr>
                <w:rFonts w:hint="eastAsia" w:ascii="黑体" w:hAnsi="黑体" w:eastAsia="黑体"/>
                <w:kern w:val="0"/>
                <w:szCs w:val="21"/>
              </w:rPr>
              <w:t>三、本年度办理结果</w:t>
            </w:r>
          </w:p>
        </w:tc>
        <w:tc>
          <w:tcPr>
            <w:tcW w:w="4677" w:type="dxa"/>
            <w:gridSpan w:val="2"/>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（一）予以公开</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atLeast"/>
              <w:jc w:val="both"/>
              <w:textAlignment w:val="auto"/>
              <w:rPr>
                <w:rFonts w:hint="default" w:ascii="仿宋_GB2312" w:hAnsi="Times New Roman" w:eastAsia="仿宋_GB2312"/>
                <w:szCs w:val="21"/>
                <w:lang w:val="en-US" w:eastAsia="zh-CN"/>
              </w:rPr>
            </w:pPr>
            <w:r>
              <w:rPr>
                <w:rFonts w:hint="eastAsia" w:ascii="仿宋_GB2312" w:eastAsia="仿宋_GB2312"/>
                <w:szCs w:val="21"/>
                <w:lang w:val="en-US" w:eastAsia="zh-CN"/>
              </w:rPr>
              <w:t xml:space="preserve"> 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4677" w:type="dxa"/>
            <w:gridSpan w:val="2"/>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（二）部分公开（</w:t>
            </w:r>
            <w:bookmarkStart w:id="1" w:name="_Hlk66973981"/>
            <w:r>
              <w:rPr>
                <w:rFonts w:hint="eastAsia" w:ascii="黑体" w:hAnsi="黑体" w:eastAsia="黑体"/>
                <w:kern w:val="0"/>
                <w:szCs w:val="21"/>
              </w:rPr>
              <w:t>区分处理的，只计这一情形，不计其他情形</w:t>
            </w:r>
            <w:bookmarkEnd w:id="1"/>
            <w:r>
              <w:rPr>
                <w:rFonts w:hint="eastAsia" w:ascii="黑体" w:hAnsi="黑体" w:eastAsia="黑体"/>
                <w:kern w:val="0"/>
                <w:szCs w:val="21"/>
              </w:rPr>
              <w:t>）</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200" w:lineRule="exact"/>
              <w:ind w:left="-97" w:leftChars="-51"/>
              <w:rPr>
                <w:rFonts w:ascii="黑体" w:hAnsi="黑体" w:eastAsia="黑体"/>
                <w:szCs w:val="21"/>
              </w:rPr>
            </w:pPr>
            <w:r>
              <w:rPr>
                <w:rFonts w:hint="eastAsia" w:ascii="黑体" w:hAnsi="黑体" w:eastAsia="黑体"/>
                <w:kern w:val="0"/>
                <w:szCs w:val="21"/>
              </w:rPr>
              <w:t>（三）不予公开</w:t>
            </w: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1.属于国家秘密</w:t>
            </w:r>
          </w:p>
        </w:tc>
        <w:tc>
          <w:tcPr>
            <w:tcW w:w="829" w:type="dxa"/>
            <w:shd w:val="clear" w:color="auto" w:fill="auto"/>
            <w:tcMar>
              <w:left w:w="0" w:type="dxa"/>
              <w:right w:w="0"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0" w:type="dxa"/>
              <w:right w:w="0"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0" w:type="dxa"/>
              <w:right w:w="0" w:type="dxa"/>
            </w:tcMar>
            <w:vAlign w:val="center"/>
          </w:tcPr>
          <w:p>
            <w:pPr>
              <w:keepNext w:val="0"/>
              <w:keepLines w:val="0"/>
              <w:pageBreakBefore w:val="0"/>
              <w:widowControl/>
              <w:kinsoku/>
              <w:wordWrap/>
              <w:overflowPunct/>
              <w:topLinePunct w:val="0"/>
              <w:autoSpaceDE/>
              <w:autoSpaceDN/>
              <w:bidi w:val="0"/>
              <w:adjustRightInd/>
              <w:snapToGrid/>
              <w:spacing w:line="200" w:lineRule="exact"/>
              <w:ind w:firstLine="277" w:firstLineChars="0"/>
              <w:jc w:val="both"/>
              <w:textAlignment w:val="auto"/>
              <w:rPr>
                <w:rFonts w:hint="default"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0" w:type="dxa"/>
              <w:right w:w="0"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0" w:type="dxa"/>
              <w:right w:w="0"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0" w:type="dxa"/>
              <w:right w:w="0"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0" w:type="dxa"/>
              <w:right w:w="0"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2.</w:t>
            </w:r>
            <w:bookmarkStart w:id="2" w:name="_Hlk66974104"/>
            <w:r>
              <w:rPr>
                <w:rFonts w:hint="eastAsia" w:ascii="仿宋_GB2312" w:hAnsi="黑体" w:eastAsia="仿宋_GB2312"/>
                <w:kern w:val="0"/>
                <w:szCs w:val="21"/>
              </w:rPr>
              <w:t>其他法律行政法规禁止公开</w:t>
            </w:r>
            <w:bookmarkEnd w:id="2"/>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3.危及“三安全一稳定”</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both"/>
              <w:textAlignment w:val="auto"/>
              <w:rPr>
                <w:rFonts w:hint="default" w:ascii="仿宋_GB2312" w:hAnsi="Times New Roman" w:eastAsia="仿宋_GB2312"/>
                <w:szCs w:val="21"/>
                <w:lang w:val="en-US" w:eastAsia="zh-CN"/>
              </w:rPr>
            </w:pPr>
            <w:r>
              <w:rPr>
                <w:rFonts w:hint="eastAsia" w:ascii="仿宋_GB2312" w:eastAsia="仿宋_GB2312"/>
                <w:szCs w:val="21"/>
                <w:lang w:val="en-US" w:eastAsia="zh-CN"/>
              </w:rPr>
              <w:t xml:space="preserve"> 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4.</w:t>
            </w:r>
            <w:bookmarkStart w:id="3" w:name="_Hlk66974290"/>
            <w:r>
              <w:rPr>
                <w:rFonts w:hint="eastAsia" w:ascii="仿宋_GB2312" w:hAnsi="黑体" w:eastAsia="仿宋_GB2312"/>
                <w:kern w:val="0"/>
                <w:szCs w:val="21"/>
              </w:rPr>
              <w:t>保护第三方合法权益</w:t>
            </w:r>
            <w:bookmarkEnd w:id="3"/>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5.属于三类内部事务信息</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6.</w:t>
            </w:r>
            <w:bookmarkStart w:id="4" w:name="_Hlk66974555"/>
            <w:r>
              <w:rPr>
                <w:rFonts w:hint="eastAsia" w:ascii="仿宋_GB2312" w:hAnsi="黑体" w:eastAsia="仿宋_GB2312"/>
                <w:kern w:val="0"/>
                <w:szCs w:val="21"/>
              </w:rPr>
              <w:t>属于四类过程性信息</w:t>
            </w:r>
            <w:bookmarkEnd w:id="4"/>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7.属于行政执法案卷</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8.</w:t>
            </w:r>
            <w:bookmarkStart w:id="5" w:name="_Hlk66975211"/>
            <w:r>
              <w:rPr>
                <w:rFonts w:hint="eastAsia" w:ascii="仿宋_GB2312" w:hAnsi="黑体" w:eastAsia="仿宋_GB2312"/>
                <w:kern w:val="0"/>
                <w:szCs w:val="21"/>
              </w:rPr>
              <w:t>属于行政查询事项</w:t>
            </w:r>
            <w:bookmarkEnd w:id="5"/>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200" w:lineRule="exact"/>
              <w:ind w:left="-97" w:leftChars="-51"/>
              <w:rPr>
                <w:rFonts w:ascii="黑体" w:hAnsi="黑体" w:eastAsia="黑体"/>
                <w:szCs w:val="21"/>
              </w:rPr>
            </w:pPr>
            <w:r>
              <w:rPr>
                <w:rFonts w:hint="eastAsia" w:ascii="黑体" w:hAnsi="黑体" w:eastAsia="黑体"/>
                <w:kern w:val="0"/>
                <w:szCs w:val="21"/>
              </w:rPr>
              <w:t>（四）无法提供</w:t>
            </w: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1.本机关不掌握相关政府信息</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1</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ind w:left="-97" w:leftChars="-51"/>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2.</w:t>
            </w:r>
            <w:bookmarkStart w:id="6" w:name="_Hlk66975392"/>
            <w:r>
              <w:rPr>
                <w:rFonts w:hint="eastAsia" w:ascii="仿宋_GB2312" w:hAnsi="黑体" w:eastAsia="仿宋_GB2312"/>
                <w:kern w:val="0"/>
                <w:szCs w:val="21"/>
              </w:rPr>
              <w:t>没有现成信息需要另行制作</w:t>
            </w:r>
            <w:bookmarkEnd w:id="6"/>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ind w:left="-97" w:leftChars="-51"/>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3.</w:t>
            </w:r>
            <w:bookmarkStart w:id="7" w:name="_Hlk66975466"/>
            <w:r>
              <w:rPr>
                <w:rFonts w:hint="eastAsia" w:ascii="仿宋_GB2312" w:hAnsi="黑体" w:eastAsia="仿宋_GB2312"/>
                <w:kern w:val="0"/>
                <w:szCs w:val="21"/>
              </w:rPr>
              <w:t>补正后申请内容仍不明确</w:t>
            </w:r>
            <w:bookmarkEnd w:id="7"/>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200" w:lineRule="exact"/>
              <w:ind w:left="-97" w:leftChars="-51"/>
              <w:rPr>
                <w:rFonts w:ascii="黑体" w:hAnsi="黑体" w:eastAsia="黑体"/>
                <w:szCs w:val="21"/>
              </w:rPr>
            </w:pPr>
            <w:r>
              <w:rPr>
                <w:rFonts w:hint="eastAsia" w:ascii="黑体" w:hAnsi="黑体" w:eastAsia="黑体"/>
                <w:kern w:val="0"/>
                <w:szCs w:val="21"/>
              </w:rPr>
              <w:t>（五）不予处理</w:t>
            </w: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1.</w:t>
            </w:r>
            <w:bookmarkStart w:id="8" w:name="_Hlk66975537"/>
            <w:r>
              <w:rPr>
                <w:rFonts w:hint="eastAsia" w:ascii="仿宋_GB2312" w:hAnsi="黑体" w:eastAsia="仿宋_GB2312"/>
                <w:kern w:val="0"/>
                <w:szCs w:val="21"/>
              </w:rPr>
              <w:t>信访举报投诉类申请</w:t>
            </w:r>
            <w:bookmarkEnd w:id="8"/>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2.重复申请</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szCs w:val="21"/>
              </w:rPr>
            </w:pPr>
            <w:r>
              <w:rPr>
                <w:rFonts w:hint="eastAsia" w:ascii="仿宋_GB2312" w:hAnsi="黑体" w:eastAsia="仿宋_GB2312"/>
                <w:kern w:val="0"/>
                <w:szCs w:val="21"/>
              </w:rPr>
              <w:t>3.要求提供公开出版物</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szCs w:val="21"/>
              </w:rPr>
            </w:pPr>
            <w:r>
              <w:rPr>
                <w:rFonts w:hint="eastAsia" w:ascii="仿宋_GB2312" w:hAnsi="黑体" w:eastAsia="仿宋_GB2312"/>
                <w:kern w:val="0"/>
                <w:szCs w:val="21"/>
              </w:rPr>
              <w:t>4.无正当理由大量反复申请</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300" w:lineRule="exact"/>
              <w:rPr>
                <w:rFonts w:ascii="仿宋_GB2312" w:hAnsi="黑体" w:eastAsia="仿宋_GB2312"/>
                <w:kern w:val="0"/>
                <w:szCs w:val="21"/>
              </w:rPr>
            </w:pPr>
            <w:r>
              <w:rPr>
                <w:rFonts w:hint="eastAsia" w:ascii="仿宋_GB2312" w:hAnsi="黑体" w:eastAsia="仿宋_GB2312"/>
                <w:kern w:val="0"/>
                <w:szCs w:val="21"/>
              </w:rPr>
              <w:t>5.要求行政机关确认或重新</w:t>
            </w:r>
          </w:p>
          <w:p>
            <w:pPr>
              <w:widowControl/>
              <w:spacing w:line="300" w:lineRule="exact"/>
              <w:ind w:firstLine="192" w:firstLineChars="100"/>
              <w:rPr>
                <w:rFonts w:ascii="仿宋_GB2312" w:hAnsi="黑体" w:eastAsia="仿宋_GB2312"/>
                <w:szCs w:val="21"/>
              </w:rPr>
            </w:pPr>
            <w:r>
              <w:rPr>
                <w:rFonts w:hint="eastAsia" w:ascii="仿宋_GB2312" w:hAnsi="黑体" w:eastAsia="仿宋_GB2312"/>
                <w:kern w:val="0"/>
                <w:szCs w:val="21"/>
              </w:rPr>
              <w:t>出具已获取信息</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300" w:lineRule="exact"/>
              <w:rPr>
                <w:rFonts w:ascii="黑体" w:hAnsi="黑体" w:eastAsia="黑体"/>
                <w:kern w:val="0"/>
                <w:szCs w:val="21"/>
              </w:rPr>
            </w:pPr>
            <w:r>
              <w:rPr>
                <w:rFonts w:hint="eastAsia" w:ascii="黑体" w:hAnsi="黑体" w:eastAsia="黑体"/>
                <w:kern w:val="0"/>
                <w:szCs w:val="21"/>
              </w:rPr>
              <w:t>（六）其他处理</w:t>
            </w:r>
          </w:p>
        </w:tc>
        <w:tc>
          <w:tcPr>
            <w:tcW w:w="2976" w:type="dxa"/>
            <w:shd w:val="clear" w:color="auto" w:fill="auto"/>
            <w:vAlign w:val="center"/>
          </w:tcPr>
          <w:p>
            <w:pPr>
              <w:widowControl/>
              <w:spacing w:line="300" w:lineRule="exact"/>
              <w:rPr>
                <w:rFonts w:ascii="仿宋_GB2312" w:hAnsi="楷体" w:eastAsia="仿宋_GB2312"/>
              </w:rPr>
            </w:pPr>
            <w:r>
              <w:rPr>
                <w:rFonts w:hint="eastAsia" w:ascii="仿宋_GB2312" w:hAnsi="楷体" w:eastAsia="仿宋_GB2312"/>
              </w:rPr>
              <w:t>1.申请人无正当理由逾期不补正、行政机关不再处理其政府信息公开申请</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widowControl/>
              <w:spacing w:line="300" w:lineRule="exact"/>
              <w:rPr>
                <w:rFonts w:ascii="黑体" w:hAnsi="黑体" w:eastAsia="黑体"/>
                <w:kern w:val="0"/>
                <w:szCs w:val="21"/>
              </w:rPr>
            </w:pPr>
          </w:p>
        </w:tc>
        <w:tc>
          <w:tcPr>
            <w:tcW w:w="2976" w:type="dxa"/>
            <w:shd w:val="clear" w:color="auto" w:fill="auto"/>
            <w:vAlign w:val="center"/>
          </w:tcPr>
          <w:p>
            <w:pPr>
              <w:widowControl/>
              <w:spacing w:line="300" w:lineRule="exact"/>
              <w:rPr>
                <w:rFonts w:ascii="仿宋_GB2312" w:hAnsi="黑体" w:eastAsia="仿宋_GB2312"/>
                <w:kern w:val="0"/>
                <w:szCs w:val="21"/>
              </w:rPr>
            </w:pPr>
            <w:r>
              <w:rPr>
                <w:rFonts w:hint="eastAsia" w:ascii="仿宋_GB2312" w:hAnsi="楷体" w:eastAsia="仿宋_GB2312"/>
              </w:rPr>
              <w:t>2.申请人逾期未按收费通知要求缴纳费用、行政机关不再处理其政府信息公开申请</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widowControl/>
              <w:spacing w:line="300" w:lineRule="exact"/>
              <w:rPr>
                <w:rFonts w:ascii="黑体" w:hAnsi="黑体" w:eastAsia="黑体"/>
                <w:kern w:val="0"/>
                <w:szCs w:val="21"/>
              </w:rPr>
            </w:pPr>
          </w:p>
        </w:tc>
        <w:tc>
          <w:tcPr>
            <w:tcW w:w="2976" w:type="dxa"/>
            <w:shd w:val="clear" w:color="auto" w:fill="auto"/>
            <w:vAlign w:val="center"/>
          </w:tcPr>
          <w:p>
            <w:pPr>
              <w:widowControl/>
              <w:spacing w:line="300" w:lineRule="exact"/>
              <w:rPr>
                <w:rFonts w:ascii="仿宋_GB2312" w:hAnsi="黑体" w:eastAsia="仿宋_GB2312"/>
                <w:kern w:val="0"/>
                <w:szCs w:val="21"/>
              </w:rPr>
            </w:pPr>
            <w:r>
              <w:rPr>
                <w:rFonts w:hint="eastAsia" w:ascii="仿宋_GB2312" w:hAnsi="楷体" w:eastAsia="仿宋_GB2312"/>
              </w:rPr>
              <w:t>3.其他</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4677" w:type="dxa"/>
            <w:gridSpan w:val="2"/>
            <w:shd w:val="clear" w:color="auto" w:fill="auto"/>
            <w:tcMar>
              <w:left w:w="108" w:type="dxa"/>
              <w:right w:w="108" w:type="dxa"/>
            </w:tcMar>
            <w:vAlign w:val="center"/>
          </w:tcPr>
          <w:p>
            <w:pPr>
              <w:widowControl/>
              <w:spacing w:line="300" w:lineRule="exact"/>
              <w:rPr>
                <w:rFonts w:ascii="黑体" w:hAnsi="黑体" w:eastAsia="黑体"/>
                <w:kern w:val="0"/>
                <w:szCs w:val="21"/>
              </w:rPr>
            </w:pPr>
            <w:r>
              <w:rPr>
                <w:rFonts w:hint="eastAsia" w:ascii="黑体" w:hAnsi="黑体" w:eastAsia="黑体"/>
                <w:kern w:val="0"/>
                <w:szCs w:val="21"/>
              </w:rPr>
              <w:t>（七）总计</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1</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shd w:val="clear" w:color="auto" w:fill="auto"/>
            <w:tcMar>
              <w:left w:w="108" w:type="dxa"/>
              <w:right w:w="108" w:type="dxa"/>
            </w:tcMar>
            <w:vAlign w:val="center"/>
          </w:tcPr>
          <w:p>
            <w:pPr>
              <w:widowControl/>
              <w:spacing w:line="300" w:lineRule="exact"/>
              <w:rPr>
                <w:rFonts w:ascii="黑体" w:hAnsi="黑体" w:eastAsia="黑体"/>
                <w:kern w:val="0"/>
                <w:szCs w:val="21"/>
              </w:rPr>
            </w:pPr>
            <w:r>
              <w:rPr>
                <w:rFonts w:hint="eastAsia" w:ascii="黑体" w:hAnsi="黑体" w:eastAsia="黑体"/>
                <w:kern w:val="0"/>
                <w:szCs w:val="21"/>
              </w:rPr>
              <w:t>四、结转下年度继续办理</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bookmarkEnd w:id="10"/>
    </w:tbl>
    <w:p>
      <w:pPr>
        <w:numPr>
          <w:ilvl w:val="0"/>
          <w:numId w:val="0"/>
        </w:numPr>
        <w:spacing w:line="590" w:lineRule="exact"/>
        <w:ind w:leftChars="200" w:right="-96" w:rightChars="-50"/>
        <w:rPr>
          <w:rFonts w:hint="default" w:ascii="黑体" w:hAnsi="黑体" w:eastAsia="黑体" w:cs="黑体"/>
          <w:b/>
          <w:sz w:val="21"/>
          <w:szCs w:val="21"/>
        </w:rPr>
      </w:pPr>
    </w:p>
    <w:p>
      <w:pPr>
        <w:numPr>
          <w:ilvl w:val="0"/>
          <w:numId w:val="2"/>
        </w:numPr>
        <w:spacing w:line="590" w:lineRule="exact"/>
        <w:ind w:left="0" w:leftChars="0" w:right="-96" w:rightChars="-50" w:firstLine="624" w:firstLineChars="200"/>
        <w:rPr>
          <w:rFonts w:hint="default" w:ascii="黑体" w:hAnsi="黑体" w:eastAsia="黑体" w:cs="黑体"/>
          <w:b/>
          <w:sz w:val="21"/>
          <w:szCs w:val="21"/>
        </w:rPr>
      </w:pPr>
      <w:r>
        <w:rPr>
          <w:rFonts w:hint="eastAsia" w:ascii="黑体" w:hAnsi="黑体" w:eastAsia="黑体" w:cs="黑体"/>
          <w:b/>
          <w:sz w:val="32"/>
          <w:szCs w:val="32"/>
        </w:rPr>
        <w:t>政府信息公开行政复议、行政诉讼情况</w:t>
      </w:r>
    </w:p>
    <w:p>
      <w:pPr>
        <w:numPr>
          <w:ilvl w:val="0"/>
          <w:numId w:val="0"/>
        </w:numPr>
        <w:spacing w:line="590" w:lineRule="exact"/>
        <w:ind w:leftChars="200" w:right="-96" w:rightChars="-50"/>
        <w:rPr>
          <w:rFonts w:hint="default" w:ascii="黑体" w:hAnsi="黑体" w:eastAsia="黑体" w:cs="黑体"/>
          <w:b/>
          <w:sz w:val="21"/>
          <w:szCs w:val="21"/>
        </w:rPr>
      </w:pPr>
    </w:p>
    <w:tbl>
      <w:tblPr>
        <w:tblStyle w:val="4"/>
        <w:tblW w:w="9824"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911"/>
        <w:gridCol w:w="604"/>
        <w:gridCol w:w="604"/>
        <w:gridCol w:w="604"/>
        <w:gridCol w:w="658"/>
        <w:gridCol w:w="550"/>
        <w:gridCol w:w="605"/>
        <w:gridCol w:w="605"/>
        <w:gridCol w:w="605"/>
        <w:gridCol w:w="605"/>
        <w:gridCol w:w="605"/>
        <w:gridCol w:w="605"/>
        <w:gridCol w:w="605"/>
        <w:gridCol w:w="606"/>
        <w:gridCol w:w="105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381"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行政复议</w:t>
            </w:r>
          </w:p>
        </w:tc>
        <w:tc>
          <w:tcPr>
            <w:tcW w:w="6443"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911"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ind w:left="-136" w:leftChars="-71" w:right="-155" w:rightChars="-81"/>
              <w:jc w:val="center"/>
              <w:rPr>
                <w:rFonts w:ascii="黑体" w:hAnsi="黑体" w:eastAsia="黑体"/>
                <w:kern w:val="0"/>
                <w:sz w:val="20"/>
                <w:szCs w:val="20"/>
              </w:rPr>
            </w:pPr>
            <w:r>
              <w:rPr>
                <w:rFonts w:ascii="黑体" w:hAnsi="黑体" w:eastAsia="黑体"/>
                <w:kern w:val="0"/>
                <w:sz w:val="20"/>
                <w:szCs w:val="20"/>
              </w:rPr>
              <w:t>结果</w:t>
            </w:r>
          </w:p>
          <w:p>
            <w:pPr>
              <w:widowControl/>
              <w:ind w:left="-136" w:leftChars="-71" w:right="-155" w:rightChars="-81"/>
              <w:jc w:val="center"/>
              <w:rPr>
                <w:rFonts w:ascii="黑体" w:hAnsi="黑体" w:eastAsia="黑体"/>
              </w:rPr>
            </w:pPr>
            <w:r>
              <w:rPr>
                <w:rFonts w:ascii="黑体" w:hAnsi="黑体" w:eastAsia="黑体"/>
                <w:kern w:val="0"/>
                <w:sz w:val="20"/>
                <w:szCs w:val="20"/>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39" w:leftChars="-21" w:right="-120" w:rightChars="-63" w:hanging="1"/>
              <w:jc w:val="center"/>
              <w:rPr>
                <w:rFonts w:ascii="黑体" w:hAnsi="黑体" w:eastAsia="黑体"/>
              </w:rPr>
            </w:pPr>
            <w:r>
              <w:rPr>
                <w:rFonts w:ascii="黑体" w:hAnsi="黑体" w:eastAsia="黑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74" w:leftChars="-39" w:right="-88" w:rightChars="-46"/>
              <w:jc w:val="center"/>
              <w:rPr>
                <w:rFonts w:ascii="黑体" w:hAnsi="黑体" w:eastAsia="黑体"/>
              </w:rPr>
            </w:pPr>
            <w:r>
              <w:rPr>
                <w:rFonts w:ascii="黑体" w:hAnsi="黑体" w:eastAsia="黑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07" w:leftChars="-56" w:right="-107" w:rightChars="-56"/>
              <w:jc w:val="center"/>
              <w:rPr>
                <w:rFonts w:ascii="黑体" w:hAnsi="黑体" w:eastAsia="黑体"/>
                <w:kern w:val="0"/>
                <w:sz w:val="20"/>
                <w:szCs w:val="20"/>
              </w:rPr>
            </w:pPr>
            <w:r>
              <w:rPr>
                <w:rFonts w:ascii="黑体" w:hAnsi="黑体" w:eastAsia="黑体"/>
                <w:kern w:val="0"/>
                <w:sz w:val="20"/>
                <w:szCs w:val="20"/>
              </w:rPr>
              <w:t>尚未</w:t>
            </w:r>
          </w:p>
          <w:p>
            <w:pPr>
              <w:widowControl/>
              <w:ind w:left="-107" w:leftChars="-56" w:right="-107" w:rightChars="-56"/>
              <w:jc w:val="center"/>
              <w:rPr>
                <w:rFonts w:ascii="黑体" w:hAnsi="黑体" w:eastAsia="黑体"/>
              </w:rPr>
            </w:pPr>
            <w:r>
              <w:rPr>
                <w:rFonts w:ascii="黑体" w:hAnsi="黑体" w:eastAsia="黑体"/>
                <w:kern w:val="0"/>
                <w:sz w:val="20"/>
                <w:szCs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320" w:lineRule="exact"/>
              <w:jc w:val="center"/>
              <w:rPr>
                <w:rFonts w:ascii="黑体" w:hAnsi="黑体" w:eastAsia="黑体"/>
                <w:kern w:val="0"/>
                <w:sz w:val="20"/>
                <w:szCs w:val="20"/>
              </w:rPr>
            </w:pPr>
            <w:r>
              <w:rPr>
                <w:rFonts w:ascii="黑体" w:hAnsi="黑体" w:eastAsia="黑体"/>
                <w:kern w:val="0"/>
                <w:sz w:val="20"/>
                <w:szCs w:val="20"/>
              </w:rPr>
              <w:t>总</w:t>
            </w:r>
          </w:p>
          <w:p>
            <w:pPr>
              <w:widowControl/>
              <w:spacing w:line="320" w:lineRule="exact"/>
              <w:jc w:val="center"/>
              <w:rPr>
                <w:rFonts w:ascii="黑体" w:hAnsi="黑体" w:eastAsia="黑体"/>
              </w:rPr>
            </w:pPr>
            <w:r>
              <w:rPr>
                <w:rFonts w:ascii="黑体" w:hAnsi="黑体" w:eastAsia="黑体"/>
                <w:kern w:val="0"/>
                <w:sz w:val="20"/>
                <w:szCs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未经复议直接起诉</w:t>
            </w:r>
          </w:p>
        </w:tc>
        <w:tc>
          <w:tcPr>
            <w:tcW w:w="3473"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bookmarkStart w:id="9" w:name="_Hlk67039688"/>
            <w:r>
              <w:rPr>
                <w:rFonts w:ascii="黑体" w:hAnsi="黑体" w:eastAsia="黑体"/>
                <w:kern w:val="0"/>
                <w:sz w:val="20"/>
                <w:szCs w:val="20"/>
              </w:rPr>
              <w:t>复议后起诉</w:t>
            </w:r>
            <w:bookmarkEnd w:id="9"/>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91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96" w:leftChars="-50" w:right="-115" w:rightChars="-60"/>
              <w:jc w:val="center"/>
              <w:rPr>
                <w:rFonts w:ascii="黑体" w:hAnsi="黑体" w:eastAsia="黑体"/>
              </w:rPr>
            </w:pPr>
            <w:r>
              <w:rPr>
                <w:rFonts w:ascii="黑体" w:hAnsi="黑体" w:eastAsia="黑体"/>
                <w:kern w:val="0"/>
                <w:sz w:val="20"/>
                <w:szCs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78" w:leftChars="-41" w:right="-80" w:rightChars="-42"/>
              <w:jc w:val="center"/>
              <w:rPr>
                <w:rFonts w:ascii="黑体" w:hAnsi="黑体" w:eastAsia="黑体"/>
              </w:rPr>
            </w:pPr>
            <w:r>
              <w:rPr>
                <w:rFonts w:ascii="黑体" w:hAnsi="黑体" w:eastAsia="黑体"/>
                <w:kern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15" w:leftChars="-60" w:right="-124" w:rightChars="-65"/>
              <w:jc w:val="center"/>
              <w:rPr>
                <w:rFonts w:ascii="黑体" w:hAnsi="黑体" w:eastAsia="黑体"/>
                <w:kern w:val="0"/>
                <w:sz w:val="20"/>
                <w:szCs w:val="20"/>
              </w:rPr>
            </w:pPr>
            <w:r>
              <w:rPr>
                <w:rFonts w:ascii="黑体" w:hAnsi="黑体" w:eastAsia="黑体"/>
                <w:kern w:val="0"/>
                <w:sz w:val="20"/>
                <w:szCs w:val="20"/>
              </w:rPr>
              <w:t>其他</w:t>
            </w:r>
          </w:p>
          <w:p>
            <w:pPr>
              <w:widowControl/>
              <w:ind w:left="-115" w:leftChars="-60" w:right="-124" w:rightChars="-65"/>
              <w:jc w:val="center"/>
              <w:rPr>
                <w:rFonts w:ascii="黑体" w:hAnsi="黑体" w:eastAsia="黑体"/>
              </w:rPr>
            </w:pPr>
            <w:r>
              <w:rPr>
                <w:rFonts w:ascii="黑体" w:hAnsi="黑体" w:eastAsia="黑体"/>
                <w:kern w:val="0"/>
                <w:sz w:val="20"/>
                <w:szCs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49" w:leftChars="-78" w:right="-140" w:rightChars="-73"/>
              <w:jc w:val="center"/>
              <w:rPr>
                <w:rFonts w:ascii="黑体" w:hAnsi="黑体" w:eastAsia="黑体"/>
                <w:kern w:val="0"/>
                <w:sz w:val="20"/>
                <w:szCs w:val="20"/>
              </w:rPr>
            </w:pPr>
            <w:r>
              <w:rPr>
                <w:rFonts w:ascii="黑体" w:hAnsi="黑体" w:eastAsia="黑体"/>
                <w:kern w:val="0"/>
                <w:sz w:val="20"/>
                <w:szCs w:val="20"/>
              </w:rPr>
              <w:t>尚未</w:t>
            </w:r>
          </w:p>
          <w:p>
            <w:pPr>
              <w:widowControl/>
              <w:ind w:left="-149" w:leftChars="-78" w:right="-140" w:rightChars="-73"/>
              <w:jc w:val="center"/>
              <w:rPr>
                <w:rFonts w:ascii="黑体" w:hAnsi="黑体" w:eastAsia="黑体"/>
              </w:rPr>
            </w:pPr>
            <w:r>
              <w:rPr>
                <w:rFonts w:ascii="黑体" w:hAnsi="黑体" w:eastAsia="黑体"/>
                <w:kern w:val="0"/>
                <w:sz w:val="20"/>
                <w:szCs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90" w:leftChars="-47" w:right="-71" w:rightChars="-37"/>
              <w:jc w:val="center"/>
              <w:rPr>
                <w:rFonts w:ascii="黑体" w:hAnsi="黑体" w:eastAsia="黑体"/>
              </w:rPr>
            </w:pPr>
            <w:r>
              <w:rPr>
                <w:rFonts w:ascii="黑体" w:hAnsi="黑体" w:eastAsia="黑体"/>
                <w:kern w:val="0"/>
                <w:sz w:val="20"/>
                <w:szCs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24" w:leftChars="-65" w:right="-113" w:rightChars="-59"/>
              <w:jc w:val="center"/>
              <w:rPr>
                <w:rFonts w:ascii="黑体" w:hAnsi="黑体" w:eastAsia="黑体"/>
                <w:kern w:val="0"/>
                <w:sz w:val="20"/>
                <w:szCs w:val="20"/>
              </w:rPr>
            </w:pPr>
            <w:r>
              <w:rPr>
                <w:rFonts w:ascii="黑体" w:hAnsi="黑体" w:eastAsia="黑体"/>
                <w:kern w:val="0"/>
                <w:sz w:val="20"/>
                <w:szCs w:val="20"/>
              </w:rPr>
              <w:t>结果</w:t>
            </w:r>
          </w:p>
          <w:p>
            <w:pPr>
              <w:widowControl/>
              <w:ind w:left="-124" w:leftChars="-65" w:right="-113" w:rightChars="-59"/>
              <w:jc w:val="center"/>
              <w:rPr>
                <w:rFonts w:ascii="黑体" w:hAnsi="黑体" w:eastAsia="黑体"/>
              </w:rPr>
            </w:pPr>
            <w:r>
              <w:rPr>
                <w:rFonts w:ascii="黑体" w:hAnsi="黑体" w:eastAsia="黑体"/>
                <w:kern w:val="0"/>
                <w:sz w:val="20"/>
                <w:szCs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58" w:leftChars="-83" w:right="-122" w:rightChars="-64" w:hanging="1"/>
              <w:jc w:val="center"/>
              <w:rPr>
                <w:rFonts w:ascii="黑体" w:hAnsi="黑体" w:eastAsia="黑体"/>
                <w:kern w:val="0"/>
                <w:sz w:val="20"/>
                <w:szCs w:val="20"/>
              </w:rPr>
            </w:pPr>
            <w:r>
              <w:rPr>
                <w:rFonts w:ascii="黑体" w:hAnsi="黑体" w:eastAsia="黑体"/>
                <w:kern w:val="0"/>
                <w:sz w:val="20"/>
                <w:szCs w:val="20"/>
              </w:rPr>
              <w:t>其他</w:t>
            </w:r>
          </w:p>
          <w:p>
            <w:pPr>
              <w:widowControl/>
              <w:ind w:left="-158" w:leftChars="-83" w:right="-122" w:rightChars="-64" w:hanging="1"/>
              <w:jc w:val="center"/>
              <w:rPr>
                <w:rFonts w:ascii="黑体" w:hAnsi="黑体" w:eastAsia="黑体"/>
              </w:rPr>
            </w:pPr>
            <w:r>
              <w:rPr>
                <w:rFonts w:ascii="黑体" w:hAnsi="黑体" w:eastAsia="黑体"/>
                <w:kern w:val="0"/>
                <w:sz w:val="20"/>
                <w:szCs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61" w:leftChars="-33" w:right="-96" w:rightChars="-50" w:hanging="2" w:hangingChars="1"/>
              <w:jc w:val="center"/>
              <w:rPr>
                <w:rFonts w:ascii="黑体" w:hAnsi="黑体" w:eastAsia="黑体"/>
              </w:rPr>
            </w:pPr>
            <w:r>
              <w:rPr>
                <w:rFonts w:ascii="黑体" w:hAnsi="黑体" w:eastAsia="黑体"/>
                <w:kern w:val="0"/>
                <w:sz w:val="20"/>
                <w:szCs w:val="20"/>
              </w:rPr>
              <w:t>尚未审结</w:t>
            </w:r>
          </w:p>
        </w:tc>
        <w:tc>
          <w:tcPr>
            <w:tcW w:w="1052"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default" w:ascii="Times New Roman" w:hAnsi="Times New Roman" w:eastAsia="宋体"/>
                <w:lang w:val="en-US" w:eastAsia="zh-CN"/>
              </w:rPr>
            </w:pPr>
            <w:r>
              <w:rPr>
                <w:rFonts w:hint="eastAsia"/>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lang w:val="en-US" w:eastAsia="zh-CN"/>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default" w:ascii="Times New Roman" w:hAnsi="Times New Roman" w:eastAsia="宋体"/>
                <w:lang w:val="en-US" w:eastAsia="zh-CN"/>
              </w:rPr>
            </w:pPr>
            <w:r>
              <w:rPr>
                <w:rFonts w:hint="eastAsia"/>
                <w:lang w:val="en-US" w:eastAsia="zh-CN"/>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default" w:ascii="Times New Roman" w:hAnsi="Times New Roman"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default" w:ascii="Times New Roman" w:hAnsi="Times New Roman"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ind w:firstLine="192" w:firstLineChars="100"/>
              <w:rPr>
                <w:rFonts w:hint="default" w:ascii="Times New Roman" w:hAnsi="Times New Roman"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lang w:val="en-US" w:eastAsia="zh-CN"/>
              </w:rPr>
              <w:t>0</w:t>
            </w:r>
          </w:p>
        </w:tc>
        <w:tc>
          <w:tcPr>
            <w:tcW w:w="1052"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lang w:val="en-US" w:eastAsia="zh-CN"/>
              </w:rPr>
              <w:t>0</w:t>
            </w:r>
          </w:p>
        </w:tc>
      </w:tr>
    </w:tbl>
    <w:p>
      <w:pPr>
        <w:spacing w:line="590" w:lineRule="exact"/>
        <w:ind w:right="-96" w:rightChars="-50"/>
        <w:rPr>
          <w:rFonts w:hint="default" w:ascii="Times New Roman" w:hAnsi="Times New Roman" w:eastAsia="方正黑体简体" w:cs="Times New Roman"/>
          <w:b/>
          <w:sz w:val="32"/>
          <w:szCs w:val="32"/>
        </w:rPr>
      </w:pPr>
    </w:p>
    <w:p>
      <w:pPr>
        <w:spacing w:line="590" w:lineRule="exact"/>
        <w:ind w:right="-96" w:rightChars="-50" w:firstLine="624" w:firstLineChars="200"/>
        <w:rPr>
          <w:rFonts w:hint="eastAsia" w:ascii="黑体" w:hAnsi="黑体" w:eastAsia="黑体" w:cs="黑体"/>
          <w:b/>
          <w:bCs w:val="0"/>
          <w:sz w:val="32"/>
          <w:szCs w:val="32"/>
        </w:rPr>
      </w:pPr>
      <w:r>
        <w:rPr>
          <w:rFonts w:hint="eastAsia" w:ascii="黑体" w:hAnsi="黑体" w:eastAsia="黑体" w:cs="黑体"/>
          <w:b/>
          <w:bCs w:val="0"/>
          <w:sz w:val="32"/>
          <w:szCs w:val="32"/>
        </w:rPr>
        <w:t>五、存在的主要问题及改进情况</w:t>
      </w:r>
    </w:p>
    <w:p>
      <w:pPr>
        <w:spacing w:line="590" w:lineRule="exact"/>
        <w:ind w:right="-96" w:rightChars="-50" w:firstLine="624" w:firstLineChars="200"/>
        <w:rPr>
          <w:rFonts w:hint="eastAsia" w:asciiTheme="majorEastAsia" w:hAnsiTheme="majorEastAsia" w:eastAsiaTheme="majorEastAsia" w:cstheme="majorEastAsia"/>
          <w:b/>
          <w:bCs w:val="0"/>
          <w:i w:val="0"/>
          <w:iCs w:val="0"/>
          <w:caps w:val="0"/>
          <w:color w:val="333333"/>
          <w:spacing w:val="0"/>
          <w:sz w:val="32"/>
          <w:szCs w:val="32"/>
          <w:shd w:val="clear" w:fill="FFFFFF"/>
        </w:rPr>
      </w:pPr>
      <w:r>
        <w:rPr>
          <w:rFonts w:hint="eastAsia" w:asciiTheme="majorEastAsia" w:hAnsiTheme="majorEastAsia" w:eastAsiaTheme="majorEastAsia" w:cstheme="majorEastAsia"/>
          <w:b/>
          <w:bCs w:val="0"/>
          <w:i w:val="0"/>
          <w:iCs w:val="0"/>
          <w:caps w:val="0"/>
          <w:color w:val="333333"/>
          <w:spacing w:val="0"/>
          <w:sz w:val="32"/>
          <w:szCs w:val="32"/>
          <w:shd w:val="clear" w:fill="FFFFFF"/>
        </w:rPr>
        <w:t>（一）存在的主要问题</w:t>
      </w:r>
    </w:p>
    <w:p>
      <w:pPr>
        <w:spacing w:line="590" w:lineRule="exact"/>
        <w:ind w:right="-96" w:rightChars="-50" w:firstLine="624" w:firstLineChars="200"/>
        <w:rPr>
          <w:rFonts w:hint="eastAsia" w:asciiTheme="majorEastAsia" w:hAnsiTheme="majorEastAsia" w:eastAsiaTheme="majorEastAsia" w:cstheme="majorEastAsia"/>
          <w:b/>
          <w:bCs w:val="0"/>
          <w:i w:val="0"/>
          <w:iCs w:val="0"/>
          <w:caps w:val="0"/>
          <w:color w:val="333333"/>
          <w:spacing w:val="0"/>
          <w:sz w:val="32"/>
          <w:szCs w:val="32"/>
          <w:shd w:val="clear" w:fill="FFFFFF"/>
        </w:rPr>
      </w:pPr>
      <w:r>
        <w:rPr>
          <w:rFonts w:hint="eastAsia" w:asciiTheme="majorEastAsia" w:hAnsiTheme="majorEastAsia" w:eastAsiaTheme="majorEastAsia" w:cstheme="majorEastAsia"/>
          <w:b/>
          <w:bCs w:val="0"/>
          <w:kern w:val="0"/>
          <w:sz w:val="32"/>
          <w:szCs w:val="32"/>
          <w:lang w:val="en-US" w:eastAsia="zh-CN" w:bidi="ar"/>
        </w:rPr>
        <w:t>曲阜市交通运输局政务公开工作坚持以群众需求为导向，不断深化公开内容、创新公开形式和载体，取得了积极成效，但距离上级的要求和群众期盼还有一定的差距，主要表现在：一是政务公开工作机制仍不完善，上下贯通、协调高效的工作运行机制还不顺畅。二是</w:t>
      </w:r>
      <w:r>
        <w:rPr>
          <w:rFonts w:hint="eastAsia" w:asciiTheme="majorEastAsia" w:hAnsiTheme="majorEastAsia" w:eastAsiaTheme="majorEastAsia" w:cstheme="majorEastAsia"/>
          <w:b/>
          <w:bCs w:val="0"/>
          <w:i w:val="0"/>
          <w:iCs w:val="0"/>
          <w:caps w:val="0"/>
          <w:color w:val="333333"/>
          <w:spacing w:val="0"/>
          <w:sz w:val="32"/>
          <w:szCs w:val="32"/>
          <w:shd w:val="clear" w:fill="FFFFFF"/>
        </w:rPr>
        <w:t>政策解读发布率较低。由于政策法规的制定有非常严谨的规范与程序，我市交通运输行业大部分规范制度以遵循上级规章制度为原则，沿用交通运输部及省交通运输厅制定的政策法规，本级制定政策法规情况甚少，政策解读发布率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Theme="majorEastAsia" w:hAnsiTheme="majorEastAsia" w:eastAsiaTheme="majorEastAsia" w:cstheme="majorEastAsia"/>
          <w:b/>
          <w:bCs w:val="0"/>
          <w:sz w:val="32"/>
          <w:szCs w:val="32"/>
        </w:rPr>
      </w:pPr>
      <w:r>
        <w:rPr>
          <w:rFonts w:hint="eastAsia" w:asciiTheme="majorEastAsia" w:hAnsiTheme="majorEastAsia" w:eastAsiaTheme="majorEastAsia" w:cstheme="majorEastAsia"/>
          <w:b/>
          <w:bCs w:val="0"/>
          <w:kern w:val="0"/>
          <w:sz w:val="32"/>
          <w:szCs w:val="32"/>
          <w:lang w:val="en-US" w:eastAsia="zh-CN" w:bidi="ar"/>
        </w:rPr>
        <w:t>　　（二）改进措施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Theme="majorEastAsia" w:hAnsiTheme="majorEastAsia" w:eastAsiaTheme="majorEastAsia" w:cstheme="majorEastAsia"/>
          <w:b/>
          <w:bCs w:val="0"/>
          <w:sz w:val="32"/>
          <w:szCs w:val="32"/>
        </w:rPr>
      </w:pPr>
      <w:r>
        <w:rPr>
          <w:rFonts w:hint="eastAsia" w:asciiTheme="majorEastAsia" w:hAnsiTheme="majorEastAsia" w:eastAsiaTheme="majorEastAsia" w:cstheme="majorEastAsia"/>
          <w:b/>
          <w:bCs w:val="0"/>
          <w:kern w:val="0"/>
          <w:sz w:val="32"/>
          <w:szCs w:val="32"/>
          <w:lang w:val="en-US" w:eastAsia="zh-CN" w:bidi="ar"/>
        </w:rPr>
        <w:t>　　一是定期总结分析政务公开工作，继续开展“点对点”精准培训，梳理依申请公开典型案例，不断增强工作人员依法公开理念和公开能力。二是在完成行政规范性文件集中公开的基础上，参照规章库推动建设本单位现行有效行政规范性文件库，加大政策解读力度，提高解读内容质量和可读性，不断提升政策公开质量。</w:t>
      </w:r>
    </w:p>
    <w:p>
      <w:pPr>
        <w:spacing w:line="590" w:lineRule="exact"/>
        <w:ind w:right="-96" w:rightChars="-50" w:firstLine="624" w:firstLineChars="200"/>
        <w:rPr>
          <w:rFonts w:hint="eastAsia" w:ascii="黑体" w:hAnsi="黑体" w:eastAsia="黑体" w:cs="黑体"/>
          <w:b/>
          <w:bCs w:val="0"/>
          <w:sz w:val="32"/>
          <w:szCs w:val="32"/>
        </w:rPr>
      </w:pPr>
      <w:r>
        <w:rPr>
          <w:rFonts w:hint="eastAsia" w:ascii="黑体" w:hAnsi="黑体" w:eastAsia="黑体" w:cs="黑体"/>
          <w:b/>
          <w:bCs w:val="0"/>
          <w:sz w:val="32"/>
          <w:szCs w:val="32"/>
        </w:rPr>
        <w:t>六、其他需要报告的事项</w:t>
      </w:r>
    </w:p>
    <w:p>
      <w:pPr>
        <w:pStyle w:val="3"/>
        <w:keepNext w:val="0"/>
        <w:keepLines w:val="0"/>
        <w:widowControl/>
        <w:suppressLineNumbers w:val="0"/>
        <w:spacing w:before="0" w:beforeAutospacing="0" w:after="0" w:afterAutospacing="0" w:line="420" w:lineRule="atLeast"/>
        <w:ind w:left="0" w:right="0" w:firstLine="420"/>
        <w:jc w:val="left"/>
        <w:rPr>
          <w:rFonts w:hint="eastAsia" w:asciiTheme="majorEastAsia" w:hAnsiTheme="majorEastAsia" w:eastAsiaTheme="majorEastAsia" w:cstheme="majorEastAsia"/>
          <w:b/>
          <w:bCs w:val="0"/>
          <w:i w:val="0"/>
          <w:iCs w:val="0"/>
          <w:caps w:val="0"/>
          <w:color w:val="000000"/>
          <w:spacing w:val="0"/>
          <w:sz w:val="32"/>
          <w:szCs w:val="32"/>
          <w:lang w:eastAsia="zh-CN"/>
        </w:rPr>
      </w:pPr>
      <w:r>
        <w:rPr>
          <w:rFonts w:hint="eastAsia" w:asciiTheme="majorEastAsia" w:hAnsiTheme="majorEastAsia" w:eastAsiaTheme="majorEastAsia" w:cstheme="majorEastAsia"/>
          <w:b/>
          <w:bCs w:val="0"/>
          <w:sz w:val="32"/>
          <w:szCs w:val="32"/>
        </w:rPr>
        <w:t>（一）</w:t>
      </w:r>
      <w:r>
        <w:rPr>
          <w:rFonts w:hint="eastAsia" w:asciiTheme="majorEastAsia" w:hAnsiTheme="majorEastAsia" w:eastAsiaTheme="majorEastAsia" w:cstheme="majorEastAsia"/>
          <w:b/>
          <w:bCs w:val="0"/>
          <w:i w:val="0"/>
          <w:iCs w:val="0"/>
          <w:caps w:val="0"/>
          <w:color w:val="000000"/>
          <w:spacing w:val="0"/>
          <w:sz w:val="32"/>
          <w:szCs w:val="32"/>
        </w:rPr>
        <w:t>依据《政府信息公开信息处理费管理办法》，本单位本年度未收取信息处理费用</w:t>
      </w:r>
      <w:r>
        <w:rPr>
          <w:rFonts w:hint="eastAsia" w:asciiTheme="majorEastAsia" w:hAnsiTheme="majorEastAsia" w:eastAsiaTheme="majorEastAsia" w:cstheme="majorEastAsia"/>
          <w:b/>
          <w:bCs w:val="0"/>
          <w:i w:val="0"/>
          <w:iCs w:val="0"/>
          <w:caps w:val="0"/>
          <w:color w:val="000000"/>
          <w:spacing w:val="0"/>
          <w:sz w:val="32"/>
          <w:szCs w:val="32"/>
          <w:lang w:eastAsia="zh-CN"/>
        </w:rPr>
        <w:t>。</w:t>
      </w:r>
    </w:p>
    <w:p>
      <w:pPr>
        <w:spacing w:line="590" w:lineRule="exact"/>
        <w:ind w:right="-96" w:rightChars="-50" w:firstLine="312" w:firstLineChars="100"/>
        <w:rPr>
          <w:rFonts w:hint="eastAsia" w:asciiTheme="majorEastAsia" w:hAnsiTheme="majorEastAsia" w:eastAsiaTheme="majorEastAsia" w:cstheme="majorEastAsia"/>
          <w:b/>
          <w:bCs w:val="0"/>
          <w:sz w:val="32"/>
          <w:szCs w:val="32"/>
          <w:lang w:val="en-US" w:eastAsia="zh-CN"/>
        </w:rPr>
      </w:pPr>
      <w:r>
        <w:rPr>
          <w:rFonts w:hint="eastAsia" w:asciiTheme="majorEastAsia" w:hAnsiTheme="majorEastAsia" w:eastAsiaTheme="majorEastAsia" w:cstheme="majorEastAsia"/>
          <w:b/>
          <w:bCs w:val="0"/>
          <w:sz w:val="32"/>
          <w:szCs w:val="32"/>
        </w:rPr>
        <w:t>（</w:t>
      </w:r>
      <w:r>
        <w:rPr>
          <w:rFonts w:hint="eastAsia" w:asciiTheme="majorEastAsia" w:hAnsiTheme="majorEastAsia" w:eastAsiaTheme="majorEastAsia" w:cstheme="majorEastAsia"/>
          <w:b/>
          <w:bCs w:val="0"/>
          <w:sz w:val="32"/>
          <w:szCs w:val="32"/>
          <w:lang w:val="en-US" w:eastAsia="zh-CN"/>
        </w:rPr>
        <w:t>二</w:t>
      </w:r>
      <w:r>
        <w:rPr>
          <w:rFonts w:hint="eastAsia" w:asciiTheme="majorEastAsia" w:hAnsiTheme="majorEastAsia" w:eastAsiaTheme="majorEastAsia" w:cstheme="majorEastAsia"/>
          <w:b/>
          <w:bCs w:val="0"/>
          <w:sz w:val="32"/>
          <w:szCs w:val="32"/>
        </w:rPr>
        <w:t>）本行政机关年度政务公开工作创新情况</w:t>
      </w:r>
      <w:r>
        <w:rPr>
          <w:rFonts w:hint="eastAsia" w:asciiTheme="majorEastAsia" w:hAnsiTheme="majorEastAsia" w:eastAsiaTheme="majorEastAsia" w:cstheme="majorEastAsia"/>
          <w:b/>
          <w:bCs w:val="0"/>
          <w:sz w:val="32"/>
          <w:szCs w:val="32"/>
          <w:lang w:val="en-US" w:eastAsia="zh-CN"/>
        </w:rPr>
        <w:t>;</w:t>
      </w:r>
    </w:p>
    <w:p>
      <w:pPr>
        <w:spacing w:line="590" w:lineRule="exact"/>
        <w:ind w:right="-96" w:rightChars="-50" w:firstLine="624" w:firstLineChars="200"/>
        <w:rPr>
          <w:rFonts w:hint="eastAsia" w:asciiTheme="majorEastAsia" w:hAnsiTheme="majorEastAsia" w:eastAsiaTheme="majorEastAsia" w:cstheme="majorEastAsia"/>
          <w:b/>
          <w:bCs w:val="0"/>
          <w:sz w:val="32"/>
          <w:szCs w:val="32"/>
        </w:rPr>
      </w:pPr>
      <w:r>
        <w:rPr>
          <w:rFonts w:hint="eastAsia" w:asciiTheme="majorEastAsia" w:hAnsiTheme="majorEastAsia" w:eastAsiaTheme="majorEastAsia" w:cstheme="majorEastAsia"/>
          <w:b/>
          <w:bCs w:val="0"/>
          <w:sz w:val="32"/>
          <w:szCs w:val="32"/>
          <w:lang w:val="en-US" w:eastAsia="zh-CN"/>
        </w:rPr>
        <w:t>2023年</w:t>
      </w:r>
      <w:r>
        <w:rPr>
          <w:rFonts w:hint="eastAsia" w:asciiTheme="majorEastAsia" w:hAnsiTheme="majorEastAsia" w:eastAsiaTheme="majorEastAsia" w:cstheme="majorEastAsia"/>
          <w:b/>
          <w:bCs w:val="0"/>
          <w:sz w:val="32"/>
          <w:szCs w:val="32"/>
        </w:rPr>
        <w:t>，</w:t>
      </w:r>
      <w:r>
        <w:rPr>
          <w:rFonts w:hint="eastAsia" w:asciiTheme="majorEastAsia" w:hAnsiTheme="majorEastAsia" w:eastAsiaTheme="majorEastAsia" w:cstheme="majorEastAsia"/>
          <w:b/>
          <w:bCs w:val="0"/>
          <w:sz w:val="32"/>
          <w:szCs w:val="32"/>
          <w:lang w:val="en-US" w:eastAsia="zh-CN"/>
        </w:rPr>
        <w:t>曲阜市</w:t>
      </w:r>
      <w:r>
        <w:rPr>
          <w:rFonts w:hint="eastAsia" w:asciiTheme="majorEastAsia" w:hAnsiTheme="majorEastAsia" w:eastAsiaTheme="majorEastAsia" w:cstheme="majorEastAsia"/>
          <w:b/>
          <w:bCs w:val="0"/>
          <w:sz w:val="32"/>
          <w:szCs w:val="32"/>
        </w:rPr>
        <w:t>交通运输局在政务公开工作方面取得了显著的成绩。我们通过多种渠道和平台，及时发布各类交通信息，确保公众的知情权和参与权。同时，我们还积极回应社会关切，对热点问题进行权威解读，有效保障了公众的合法权益。</w:t>
      </w:r>
    </w:p>
    <w:p>
      <w:pPr>
        <w:spacing w:line="590" w:lineRule="exact"/>
        <w:ind w:right="-96" w:rightChars="-50" w:firstLine="624" w:firstLineChars="200"/>
        <w:rPr>
          <w:rFonts w:hint="eastAsia" w:asciiTheme="majorEastAsia" w:hAnsiTheme="majorEastAsia" w:eastAsiaTheme="majorEastAsia" w:cstheme="majorEastAsia"/>
          <w:b/>
          <w:bCs w:val="0"/>
          <w:sz w:val="32"/>
          <w:szCs w:val="32"/>
        </w:rPr>
      </w:pPr>
      <w:r>
        <w:rPr>
          <w:rFonts w:hint="eastAsia" w:asciiTheme="majorEastAsia" w:hAnsiTheme="majorEastAsia" w:eastAsiaTheme="majorEastAsia" w:cstheme="majorEastAsia"/>
          <w:b/>
          <w:bCs w:val="0"/>
          <w:sz w:val="32"/>
          <w:szCs w:val="32"/>
        </w:rPr>
        <w:t>在具体操作中，我们采取了一系列创新措施。首先，我们加强了信息化平台建设，优化了信息发布流程，提高了信息发布的时效性和准确性。其次，我们加强了与社会各界的沟通与互动，广泛听取意见和建议，不断完善政务公开工作。此外，我们还加强了对工作人员的培训和管理，提高了政务公开工作的专业性和规范性。</w:t>
      </w:r>
    </w:p>
    <w:p>
      <w:pPr>
        <w:spacing w:line="590" w:lineRule="exact"/>
        <w:ind w:right="-96" w:rightChars="-50" w:firstLine="624" w:firstLineChars="200"/>
        <w:rPr>
          <w:rFonts w:hint="eastAsia" w:asciiTheme="majorEastAsia" w:hAnsiTheme="majorEastAsia" w:eastAsiaTheme="majorEastAsia" w:cstheme="majorEastAsia"/>
          <w:b/>
          <w:bCs w:val="0"/>
          <w:sz w:val="32"/>
          <w:szCs w:val="32"/>
          <w:lang w:eastAsia="zh-CN"/>
        </w:rPr>
      </w:pPr>
      <w:r>
        <w:rPr>
          <w:rFonts w:hint="eastAsia" w:asciiTheme="majorEastAsia" w:hAnsiTheme="majorEastAsia" w:eastAsiaTheme="majorEastAsia" w:cstheme="majorEastAsia"/>
          <w:b/>
          <w:bCs w:val="0"/>
          <w:sz w:val="32"/>
          <w:szCs w:val="32"/>
        </w:rPr>
        <w:t>（</w:t>
      </w:r>
      <w:r>
        <w:rPr>
          <w:rFonts w:hint="eastAsia" w:asciiTheme="majorEastAsia" w:hAnsiTheme="majorEastAsia" w:eastAsiaTheme="majorEastAsia" w:cstheme="majorEastAsia"/>
          <w:b/>
          <w:bCs w:val="0"/>
          <w:sz w:val="32"/>
          <w:szCs w:val="32"/>
          <w:lang w:eastAsia="zh-CN"/>
        </w:rPr>
        <w:t>三</w:t>
      </w:r>
      <w:r>
        <w:rPr>
          <w:rFonts w:hint="eastAsia" w:asciiTheme="majorEastAsia" w:hAnsiTheme="majorEastAsia" w:eastAsiaTheme="majorEastAsia" w:cstheme="majorEastAsia"/>
          <w:b/>
          <w:bCs w:val="0"/>
          <w:sz w:val="32"/>
          <w:szCs w:val="32"/>
        </w:rPr>
        <w:t>）</w:t>
      </w:r>
      <w:r>
        <w:rPr>
          <w:rFonts w:hint="eastAsia" w:asciiTheme="majorEastAsia" w:hAnsiTheme="majorEastAsia" w:eastAsiaTheme="majorEastAsia" w:cstheme="majorEastAsia"/>
          <w:b/>
          <w:bCs w:val="0"/>
          <w:i w:val="0"/>
          <w:iCs w:val="0"/>
          <w:caps w:val="0"/>
          <w:color w:val="000000"/>
          <w:spacing w:val="0"/>
          <w:sz w:val="32"/>
          <w:szCs w:val="32"/>
        </w:rPr>
        <w:t>曲阜市交通运输局无需要报告的其他事项</w:t>
      </w:r>
      <w:r>
        <w:rPr>
          <w:rFonts w:hint="eastAsia" w:asciiTheme="majorEastAsia" w:hAnsiTheme="majorEastAsia" w:eastAsiaTheme="majorEastAsia" w:cstheme="majorEastAsia"/>
          <w:b/>
          <w:bCs w:val="0"/>
          <w:i w:val="0"/>
          <w:iCs w:val="0"/>
          <w:caps w:val="0"/>
          <w:color w:val="000000"/>
          <w:spacing w:val="0"/>
          <w:sz w:val="32"/>
          <w:szCs w:val="32"/>
          <w:lang w:eastAsia="zh-CN"/>
        </w:rPr>
        <w:t>。</w:t>
      </w:r>
    </w:p>
    <w:p>
      <w:pPr>
        <w:spacing w:line="590" w:lineRule="exact"/>
        <w:ind w:right="-96" w:rightChars="-50" w:firstLine="624" w:firstLineChars="200"/>
        <w:rPr>
          <w:rFonts w:hint="eastAsia" w:asciiTheme="majorEastAsia" w:hAnsiTheme="majorEastAsia" w:eastAsiaTheme="majorEastAsia" w:cstheme="majorEastAsia"/>
          <w:b/>
          <w:bCs w:val="0"/>
          <w:sz w:val="32"/>
          <w:szCs w:val="32"/>
          <w:lang w:eastAsia="zh-CN"/>
        </w:rPr>
      </w:pPr>
      <w:r>
        <w:rPr>
          <w:rFonts w:hint="eastAsia" w:asciiTheme="majorEastAsia" w:hAnsiTheme="majorEastAsia" w:eastAsiaTheme="majorEastAsia" w:cstheme="majorEastAsia"/>
          <w:b/>
          <w:bCs w:val="0"/>
          <w:sz w:val="32"/>
          <w:szCs w:val="32"/>
        </w:rPr>
        <w:t>（</w:t>
      </w:r>
      <w:r>
        <w:rPr>
          <w:rFonts w:hint="eastAsia" w:asciiTheme="majorEastAsia" w:hAnsiTheme="majorEastAsia" w:eastAsiaTheme="majorEastAsia" w:cstheme="majorEastAsia"/>
          <w:b/>
          <w:bCs w:val="0"/>
          <w:sz w:val="32"/>
          <w:szCs w:val="32"/>
          <w:lang w:val="en-US" w:eastAsia="zh-CN"/>
        </w:rPr>
        <w:t>四</w:t>
      </w:r>
      <w:r>
        <w:rPr>
          <w:rFonts w:hint="eastAsia" w:asciiTheme="majorEastAsia" w:hAnsiTheme="majorEastAsia" w:eastAsiaTheme="majorEastAsia" w:cstheme="majorEastAsia"/>
          <w:b/>
          <w:bCs w:val="0"/>
          <w:sz w:val="32"/>
          <w:szCs w:val="32"/>
        </w:rPr>
        <w:t>）</w:t>
      </w:r>
      <w:r>
        <w:rPr>
          <w:rFonts w:hint="eastAsia" w:asciiTheme="majorEastAsia" w:hAnsiTheme="majorEastAsia" w:eastAsiaTheme="majorEastAsia" w:cstheme="majorEastAsia"/>
          <w:b/>
          <w:bCs w:val="0"/>
          <w:i w:val="0"/>
          <w:iCs w:val="0"/>
          <w:caps w:val="0"/>
          <w:color w:val="000000"/>
          <w:spacing w:val="0"/>
          <w:sz w:val="32"/>
          <w:szCs w:val="32"/>
        </w:rPr>
        <w:t>曲阜市交通运输局无其他有关文件专门要求通过政府信息公开工作年度报告予以报告的事项</w:t>
      </w:r>
      <w:r>
        <w:rPr>
          <w:rFonts w:hint="eastAsia" w:asciiTheme="majorEastAsia" w:hAnsiTheme="majorEastAsia" w:eastAsiaTheme="majorEastAsia" w:cstheme="majorEastAsia"/>
          <w:b/>
          <w:bCs w:val="0"/>
          <w:i w:val="0"/>
          <w:iCs w:val="0"/>
          <w:caps w:val="0"/>
          <w:color w:val="000000"/>
          <w:spacing w:val="0"/>
          <w:sz w:val="32"/>
          <w:szCs w:val="32"/>
          <w:lang w:eastAsia="zh-CN"/>
        </w:rPr>
        <w:t>。</w:t>
      </w:r>
    </w:p>
    <w:p>
      <w:pPr>
        <w:spacing w:line="590" w:lineRule="exact"/>
        <w:ind w:right="-96" w:rightChars="-50" w:firstLine="624" w:firstLineChars="200"/>
        <w:rPr>
          <w:rFonts w:hint="default" w:ascii="Times New Roman" w:hAnsi="Times New Roman" w:eastAsia="方正仿宋简体" w:cs="Times New Roman"/>
          <w:b/>
          <w:color w:val="000000"/>
          <w:sz w:val="32"/>
          <w:szCs w:val="32"/>
        </w:rPr>
      </w:pPr>
    </w:p>
    <w:p>
      <w:pPr>
        <w:spacing w:line="590" w:lineRule="exact"/>
        <w:ind w:right="-96" w:rightChars="-50"/>
        <w:rPr>
          <w:rFonts w:hint="eastAsia" w:ascii="Times New Roman" w:hAnsi="Times New Roman" w:eastAsia="方正仿宋简体" w:cs="Times New Roman"/>
          <w:b/>
          <w:color w:val="000000"/>
          <w:sz w:val="32"/>
          <w:szCs w:val="32"/>
          <w:lang w:eastAsia="zh-CN"/>
        </w:rPr>
        <w:sectPr>
          <w:footerReference r:id="rId3" w:type="default"/>
          <w:pgSz w:w="11906" w:h="16838"/>
          <w:pgMar w:top="1191" w:right="1588" w:bottom="1191" w:left="1588" w:header="851" w:footer="1559" w:gutter="0"/>
          <w:pgNumType w:fmt="numberInDash"/>
          <w:cols w:space="425" w:num="1"/>
          <w:titlePg/>
          <w:docGrid w:type="linesAndChars" w:linePitch="628" w:charSpace="-1683"/>
        </w:sectPr>
      </w:pPr>
    </w:p>
    <w:p>
      <w:pPr>
        <w:rPr>
          <w:rFonts w:hint="default" w:ascii="Times New Roman" w:hAnsi="Times New Roman" w:cs="Times New Roman"/>
        </w:rPr>
      </w:pPr>
    </w:p>
    <w:sectPr>
      <w:pgSz w:w="11906" w:h="16838"/>
      <w:pgMar w:top="1191" w:right="1588" w:bottom="1191" w:left="1588" w:header="851" w:footer="1559" w:gutter="0"/>
      <w:pgNumType w:fmt="numberInDash"/>
      <w:cols w:space="425" w:num="1"/>
      <w:titlePg/>
      <w:docGrid w:type="linesAndChars" w:linePitch="628"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BA86284-49D5-4EFC-82A7-A70FBE6C2DE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CEFA87A1-C9AC-4CF0-A8BC-C8A39080DC67}"/>
  </w:font>
  <w:font w:name="方正仿宋简体">
    <w:panose1 w:val="03000509000000000000"/>
    <w:charset w:val="86"/>
    <w:family w:val="auto"/>
    <w:pitch w:val="default"/>
    <w:sig w:usb0="00000001" w:usb1="080E0000" w:usb2="00000000" w:usb3="00000000" w:csb0="00040000" w:csb1="00000000"/>
    <w:embedRegular r:id="rId3" w:fontKey="{4766D8EB-462D-490B-9B22-6170365E0B44}"/>
  </w:font>
  <w:font w:name="仿宋_GB2312">
    <w:panose1 w:val="02010609030101010101"/>
    <w:charset w:val="86"/>
    <w:family w:val="modern"/>
    <w:pitch w:val="default"/>
    <w:sig w:usb0="00000001" w:usb1="080E0000" w:usb2="00000000" w:usb3="00000000" w:csb0="00040000" w:csb1="00000000"/>
    <w:embedRegular r:id="rId4" w:fontKey="{F6C44B4A-395E-4E97-9A9D-52EF371ABC9E}"/>
  </w:font>
  <w:font w:name="方正黑体简体">
    <w:panose1 w:val="03000509000000000000"/>
    <w:charset w:val="86"/>
    <w:family w:val="auto"/>
    <w:pitch w:val="default"/>
    <w:sig w:usb0="00000001" w:usb1="080E0000" w:usb2="00000000" w:usb3="00000000" w:csb0="00040000" w:csb1="00000000"/>
    <w:embedRegular r:id="rId5" w:fontKey="{6F4B660A-4EC3-4F0A-BFF4-B07416A6E162}"/>
  </w:font>
  <w:font w:name="楷体_GB2312">
    <w:panose1 w:val="02010609030101010101"/>
    <w:charset w:val="86"/>
    <w:family w:val="modern"/>
    <w:pitch w:val="default"/>
    <w:sig w:usb0="00000001" w:usb1="080E0000" w:usb2="00000000" w:usb3="00000000" w:csb0="00040000" w:csb1="00000000"/>
    <w:embedRegular r:id="rId6" w:fontKey="{C37711FE-7758-4315-BAD3-39D723FC97CC}"/>
  </w:font>
  <w:font w:name="楷体">
    <w:panose1 w:val="02010609060101010101"/>
    <w:charset w:val="86"/>
    <w:family w:val="modern"/>
    <w:pitch w:val="default"/>
    <w:sig w:usb0="800002BF" w:usb1="38CF7CFA" w:usb2="00000016" w:usb3="00000000" w:csb0="00040001" w:csb1="00000000"/>
    <w:embedRegular r:id="rId7" w:fontKey="{F0DC2045-A416-4826-803C-8C8741DFB30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12052647"/>
    </w:sdtPr>
    <w:sdtContent>
      <w:p>
        <w:pPr>
          <w:pStyle w:val="2"/>
          <w:wordWrap w:val="0"/>
          <w:jc w:val="right"/>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23 -</w:t>
        </w:r>
        <w:r>
          <w:rPr>
            <w:rFonts w:asciiTheme="minorEastAsia" w:hAnsiTheme="minorEastAsia"/>
            <w:b/>
            <w:sz w:val="28"/>
            <w:szCs w:val="28"/>
          </w:rPr>
          <w:fldChar w:fldCharType="end"/>
        </w:r>
        <w:r>
          <w:rPr>
            <w:rFonts w:hint="eastAsia" w:asciiTheme="minorEastAsia" w:hAnsiTheme="minorEastAsia"/>
            <w:b/>
            <w:sz w:val="28"/>
            <w:szCs w:val="28"/>
          </w:rPr>
          <w:t xml:space="preserve"> </w:t>
        </w:r>
        <w:r>
          <w:rPr>
            <w:rFonts w:hint="eastAsia"/>
          </w:rPr>
          <w:t xml:space="preserve"> </w:t>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3F6DC5"/>
    <w:multiLevelType w:val="singleLevel"/>
    <w:tmpl w:val="FC3F6DC5"/>
    <w:lvl w:ilvl="0" w:tentative="0">
      <w:start w:val="2"/>
      <w:numFmt w:val="chineseCounting"/>
      <w:suff w:val="nothing"/>
      <w:lvlText w:val="%1、"/>
      <w:lvlJc w:val="left"/>
      <w:rPr>
        <w:rFonts w:hint="eastAsia"/>
        <w:sz w:val="32"/>
        <w:szCs w:val="32"/>
      </w:rPr>
    </w:lvl>
  </w:abstractNum>
  <w:abstractNum w:abstractNumId="1">
    <w:nsid w:val="24E1AF4D"/>
    <w:multiLevelType w:val="singleLevel"/>
    <w:tmpl w:val="24E1AF4D"/>
    <w:lvl w:ilvl="0" w:tentative="0">
      <w:start w:val="3"/>
      <w:numFmt w:val="chineseCounting"/>
      <w:suff w:val="nothing"/>
      <w:lvlText w:val="%1、"/>
      <w:lvlJc w:val="left"/>
      <w:rPr>
        <w:rFonts w:hint="eastAsia"/>
        <w:sz w:val="32"/>
        <w:szCs w:val="32"/>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TrueTypeFonts/>
  <w:saveSubsetFonts/>
  <w:bordersDoNotSurroundHeader w:val="0"/>
  <w:bordersDoNotSurroundFooter w:val="0"/>
  <w:documentProtection w:edit="trackedChange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xZjRmMTU2OTE0OTNjMjRjNTgyZTc4ODBjZTY2YWMifQ=="/>
  </w:docVars>
  <w:rsids>
    <w:rsidRoot w:val="00000000"/>
    <w:rsid w:val="001C66E0"/>
    <w:rsid w:val="002E6413"/>
    <w:rsid w:val="014C6B51"/>
    <w:rsid w:val="01581AAD"/>
    <w:rsid w:val="015B4FE6"/>
    <w:rsid w:val="019D115B"/>
    <w:rsid w:val="01C25065"/>
    <w:rsid w:val="01DB2B87"/>
    <w:rsid w:val="026B3007"/>
    <w:rsid w:val="032F672A"/>
    <w:rsid w:val="03634626"/>
    <w:rsid w:val="038D16A3"/>
    <w:rsid w:val="03F16471"/>
    <w:rsid w:val="04C74740"/>
    <w:rsid w:val="04D07A99"/>
    <w:rsid w:val="053C6EDC"/>
    <w:rsid w:val="05461B09"/>
    <w:rsid w:val="05FB6D97"/>
    <w:rsid w:val="06C90C44"/>
    <w:rsid w:val="07293490"/>
    <w:rsid w:val="074309F6"/>
    <w:rsid w:val="08386081"/>
    <w:rsid w:val="09153CCC"/>
    <w:rsid w:val="094B1DE4"/>
    <w:rsid w:val="09AF5ECF"/>
    <w:rsid w:val="09D27E0F"/>
    <w:rsid w:val="0A252635"/>
    <w:rsid w:val="0A640151"/>
    <w:rsid w:val="0ABB4D47"/>
    <w:rsid w:val="0AC0235E"/>
    <w:rsid w:val="0B3F7726"/>
    <w:rsid w:val="0BA35EEA"/>
    <w:rsid w:val="0C3C3C66"/>
    <w:rsid w:val="0C654F6B"/>
    <w:rsid w:val="0CFB374F"/>
    <w:rsid w:val="0DEB5944"/>
    <w:rsid w:val="0E1D3459"/>
    <w:rsid w:val="0E963B01"/>
    <w:rsid w:val="0EAA4EB7"/>
    <w:rsid w:val="0FC30926"/>
    <w:rsid w:val="0FC4644C"/>
    <w:rsid w:val="104650B3"/>
    <w:rsid w:val="109127D2"/>
    <w:rsid w:val="10953945"/>
    <w:rsid w:val="11162CD7"/>
    <w:rsid w:val="11511F61"/>
    <w:rsid w:val="11F34DC7"/>
    <w:rsid w:val="127203E1"/>
    <w:rsid w:val="127C4DBC"/>
    <w:rsid w:val="130A686C"/>
    <w:rsid w:val="13983E78"/>
    <w:rsid w:val="13F60B9E"/>
    <w:rsid w:val="13FD017F"/>
    <w:rsid w:val="141C0605"/>
    <w:rsid w:val="146B6E96"/>
    <w:rsid w:val="146F5435"/>
    <w:rsid w:val="147C5547"/>
    <w:rsid w:val="147D5535"/>
    <w:rsid w:val="147E4E1C"/>
    <w:rsid w:val="14BE346A"/>
    <w:rsid w:val="153242D5"/>
    <w:rsid w:val="15695ACC"/>
    <w:rsid w:val="15A84292"/>
    <w:rsid w:val="15BB3E4D"/>
    <w:rsid w:val="15E46F00"/>
    <w:rsid w:val="15F80BFE"/>
    <w:rsid w:val="16640041"/>
    <w:rsid w:val="17822E75"/>
    <w:rsid w:val="18972950"/>
    <w:rsid w:val="18D314AE"/>
    <w:rsid w:val="18E24A74"/>
    <w:rsid w:val="197467ED"/>
    <w:rsid w:val="19B65058"/>
    <w:rsid w:val="19B94B48"/>
    <w:rsid w:val="19EA4D01"/>
    <w:rsid w:val="19FB6F0E"/>
    <w:rsid w:val="1A277D03"/>
    <w:rsid w:val="1A2F0EC8"/>
    <w:rsid w:val="1A4C32C6"/>
    <w:rsid w:val="1AD80FFE"/>
    <w:rsid w:val="1B516ABF"/>
    <w:rsid w:val="1B6F1ED7"/>
    <w:rsid w:val="1BA809D0"/>
    <w:rsid w:val="1C6A3ED7"/>
    <w:rsid w:val="1C735482"/>
    <w:rsid w:val="1C833481"/>
    <w:rsid w:val="1CA218C3"/>
    <w:rsid w:val="1D1125A5"/>
    <w:rsid w:val="1D187DD7"/>
    <w:rsid w:val="1D5C7CC4"/>
    <w:rsid w:val="1DB47B00"/>
    <w:rsid w:val="1E546BED"/>
    <w:rsid w:val="1EA50136"/>
    <w:rsid w:val="1EB06519"/>
    <w:rsid w:val="1EBB6C6C"/>
    <w:rsid w:val="1EC73863"/>
    <w:rsid w:val="1F4924CA"/>
    <w:rsid w:val="1FE65F6B"/>
    <w:rsid w:val="200C59D1"/>
    <w:rsid w:val="21472A39"/>
    <w:rsid w:val="21601A4E"/>
    <w:rsid w:val="21B06830"/>
    <w:rsid w:val="21B24356"/>
    <w:rsid w:val="22D402FC"/>
    <w:rsid w:val="22E81C12"/>
    <w:rsid w:val="22EF3388"/>
    <w:rsid w:val="231F566C"/>
    <w:rsid w:val="23531B69"/>
    <w:rsid w:val="236E69A3"/>
    <w:rsid w:val="23CD5478"/>
    <w:rsid w:val="23F21382"/>
    <w:rsid w:val="241F37F9"/>
    <w:rsid w:val="242157C3"/>
    <w:rsid w:val="24AE34FB"/>
    <w:rsid w:val="253B28B5"/>
    <w:rsid w:val="254C5F73"/>
    <w:rsid w:val="261A5A10"/>
    <w:rsid w:val="26926505"/>
    <w:rsid w:val="26E054C2"/>
    <w:rsid w:val="272D447F"/>
    <w:rsid w:val="27523337"/>
    <w:rsid w:val="276500BD"/>
    <w:rsid w:val="279462AC"/>
    <w:rsid w:val="285C501C"/>
    <w:rsid w:val="286914E7"/>
    <w:rsid w:val="289C18BC"/>
    <w:rsid w:val="293B10D5"/>
    <w:rsid w:val="29D46E34"/>
    <w:rsid w:val="2A1262DA"/>
    <w:rsid w:val="2AAF1D7B"/>
    <w:rsid w:val="2ADB095F"/>
    <w:rsid w:val="2B053749"/>
    <w:rsid w:val="2B1716CE"/>
    <w:rsid w:val="2BC74EA2"/>
    <w:rsid w:val="2C6C77F8"/>
    <w:rsid w:val="2CA927FA"/>
    <w:rsid w:val="2CC6515A"/>
    <w:rsid w:val="2D355E3C"/>
    <w:rsid w:val="2D8F19F0"/>
    <w:rsid w:val="2DCC67A0"/>
    <w:rsid w:val="2DFB52D7"/>
    <w:rsid w:val="2EA046D5"/>
    <w:rsid w:val="2F9C21A2"/>
    <w:rsid w:val="2FD162F0"/>
    <w:rsid w:val="2FD47B8E"/>
    <w:rsid w:val="301D1535"/>
    <w:rsid w:val="304C5976"/>
    <w:rsid w:val="307B44AD"/>
    <w:rsid w:val="308415B4"/>
    <w:rsid w:val="31091D92"/>
    <w:rsid w:val="31796C3F"/>
    <w:rsid w:val="326E42CA"/>
    <w:rsid w:val="326E6078"/>
    <w:rsid w:val="329655CE"/>
    <w:rsid w:val="32CE4D68"/>
    <w:rsid w:val="33264BA4"/>
    <w:rsid w:val="33482D6D"/>
    <w:rsid w:val="338418CB"/>
    <w:rsid w:val="33F95E15"/>
    <w:rsid w:val="33FD3B57"/>
    <w:rsid w:val="34052A0C"/>
    <w:rsid w:val="348C0A37"/>
    <w:rsid w:val="34BA1A48"/>
    <w:rsid w:val="35B91D00"/>
    <w:rsid w:val="36B3674F"/>
    <w:rsid w:val="36EC7EB3"/>
    <w:rsid w:val="37060F75"/>
    <w:rsid w:val="372B2789"/>
    <w:rsid w:val="373F4487"/>
    <w:rsid w:val="375A4E1C"/>
    <w:rsid w:val="37621F23"/>
    <w:rsid w:val="37EA43F2"/>
    <w:rsid w:val="38066101"/>
    <w:rsid w:val="386A72E1"/>
    <w:rsid w:val="387E0FDF"/>
    <w:rsid w:val="388F3C84"/>
    <w:rsid w:val="388F6D48"/>
    <w:rsid w:val="38DD3F57"/>
    <w:rsid w:val="38DD5D05"/>
    <w:rsid w:val="38FD1F03"/>
    <w:rsid w:val="390C2146"/>
    <w:rsid w:val="39697599"/>
    <w:rsid w:val="39B60304"/>
    <w:rsid w:val="39BA6046"/>
    <w:rsid w:val="3A663AD8"/>
    <w:rsid w:val="3ADE3FB6"/>
    <w:rsid w:val="3B181276"/>
    <w:rsid w:val="3B191B5E"/>
    <w:rsid w:val="3B1B0D67"/>
    <w:rsid w:val="3B750477"/>
    <w:rsid w:val="3B8763FC"/>
    <w:rsid w:val="3BA7084C"/>
    <w:rsid w:val="3C300842"/>
    <w:rsid w:val="3CE321F5"/>
    <w:rsid w:val="3D211F38"/>
    <w:rsid w:val="3D2A703F"/>
    <w:rsid w:val="3D864BBD"/>
    <w:rsid w:val="3DA07301"/>
    <w:rsid w:val="3DA9265A"/>
    <w:rsid w:val="3DBD7EB3"/>
    <w:rsid w:val="3E530817"/>
    <w:rsid w:val="3E6D3687"/>
    <w:rsid w:val="3E8C540C"/>
    <w:rsid w:val="3E9055C8"/>
    <w:rsid w:val="3EC040FF"/>
    <w:rsid w:val="3F4C5993"/>
    <w:rsid w:val="3FCB2D5B"/>
    <w:rsid w:val="3FCB4F6E"/>
    <w:rsid w:val="3FE61943"/>
    <w:rsid w:val="400C6ED0"/>
    <w:rsid w:val="404E573A"/>
    <w:rsid w:val="40B90E06"/>
    <w:rsid w:val="40D55514"/>
    <w:rsid w:val="413D1A37"/>
    <w:rsid w:val="414C3A28"/>
    <w:rsid w:val="42CB6BCE"/>
    <w:rsid w:val="42EF6D61"/>
    <w:rsid w:val="43193DDE"/>
    <w:rsid w:val="436112E1"/>
    <w:rsid w:val="43EC504E"/>
    <w:rsid w:val="44114AB5"/>
    <w:rsid w:val="44550E45"/>
    <w:rsid w:val="44E81CBA"/>
    <w:rsid w:val="456A4DC4"/>
    <w:rsid w:val="46080139"/>
    <w:rsid w:val="46662302"/>
    <w:rsid w:val="467D28D5"/>
    <w:rsid w:val="46F30DEA"/>
    <w:rsid w:val="471A0124"/>
    <w:rsid w:val="471C5C4A"/>
    <w:rsid w:val="473A07C7"/>
    <w:rsid w:val="47857C94"/>
    <w:rsid w:val="48521346"/>
    <w:rsid w:val="48657AC5"/>
    <w:rsid w:val="48A64365"/>
    <w:rsid w:val="494E0559"/>
    <w:rsid w:val="49A168DB"/>
    <w:rsid w:val="49CE5703"/>
    <w:rsid w:val="4A02381D"/>
    <w:rsid w:val="4A02502A"/>
    <w:rsid w:val="4A1672C9"/>
    <w:rsid w:val="4A8A55C1"/>
    <w:rsid w:val="4AB443EC"/>
    <w:rsid w:val="4AE7656F"/>
    <w:rsid w:val="4AF62C56"/>
    <w:rsid w:val="4B382E9F"/>
    <w:rsid w:val="4BA17856"/>
    <w:rsid w:val="4BC114B6"/>
    <w:rsid w:val="4CCE5C39"/>
    <w:rsid w:val="4CDD5E7C"/>
    <w:rsid w:val="4D754306"/>
    <w:rsid w:val="4DA90454"/>
    <w:rsid w:val="4E41068C"/>
    <w:rsid w:val="4E710F72"/>
    <w:rsid w:val="4EB33338"/>
    <w:rsid w:val="4F17423C"/>
    <w:rsid w:val="4F18319B"/>
    <w:rsid w:val="4F29184C"/>
    <w:rsid w:val="4F764366"/>
    <w:rsid w:val="4FB37368"/>
    <w:rsid w:val="50175B49"/>
    <w:rsid w:val="503C735D"/>
    <w:rsid w:val="50926F7D"/>
    <w:rsid w:val="50AC44E3"/>
    <w:rsid w:val="50AF5D81"/>
    <w:rsid w:val="51295B34"/>
    <w:rsid w:val="514364CA"/>
    <w:rsid w:val="51D57A6A"/>
    <w:rsid w:val="51E101BC"/>
    <w:rsid w:val="526130AB"/>
    <w:rsid w:val="526B6152"/>
    <w:rsid w:val="528B637A"/>
    <w:rsid w:val="53220A8C"/>
    <w:rsid w:val="533407C0"/>
    <w:rsid w:val="54091C4C"/>
    <w:rsid w:val="54556C40"/>
    <w:rsid w:val="546B6463"/>
    <w:rsid w:val="54FE2E33"/>
    <w:rsid w:val="556A2277"/>
    <w:rsid w:val="556C5FEF"/>
    <w:rsid w:val="558772CD"/>
    <w:rsid w:val="57346FE0"/>
    <w:rsid w:val="577E64AD"/>
    <w:rsid w:val="57E5652D"/>
    <w:rsid w:val="58256929"/>
    <w:rsid w:val="589E6E07"/>
    <w:rsid w:val="593908DE"/>
    <w:rsid w:val="59E940B2"/>
    <w:rsid w:val="5A8913F1"/>
    <w:rsid w:val="5A9A1850"/>
    <w:rsid w:val="5AE623A0"/>
    <w:rsid w:val="5B1C2265"/>
    <w:rsid w:val="5C0F1DCA"/>
    <w:rsid w:val="5C71038F"/>
    <w:rsid w:val="5CBF559E"/>
    <w:rsid w:val="5DDA4491"/>
    <w:rsid w:val="5E483371"/>
    <w:rsid w:val="5E677C9B"/>
    <w:rsid w:val="5E7559F9"/>
    <w:rsid w:val="5E7D126D"/>
    <w:rsid w:val="5E8E6FD6"/>
    <w:rsid w:val="5EDD1D0C"/>
    <w:rsid w:val="5EFC1288"/>
    <w:rsid w:val="5F08322C"/>
    <w:rsid w:val="5F473629"/>
    <w:rsid w:val="5F8053EF"/>
    <w:rsid w:val="60762418"/>
    <w:rsid w:val="60A52CFD"/>
    <w:rsid w:val="60D158A0"/>
    <w:rsid w:val="60F375C4"/>
    <w:rsid w:val="616E7593"/>
    <w:rsid w:val="61B52ACC"/>
    <w:rsid w:val="61F46D29"/>
    <w:rsid w:val="62053A53"/>
    <w:rsid w:val="6324615B"/>
    <w:rsid w:val="63464323"/>
    <w:rsid w:val="639C3F43"/>
    <w:rsid w:val="63A86D8C"/>
    <w:rsid w:val="64A137DB"/>
    <w:rsid w:val="64B96D77"/>
    <w:rsid w:val="64CA0F84"/>
    <w:rsid w:val="64EF4547"/>
    <w:rsid w:val="65B512EC"/>
    <w:rsid w:val="65BA6903"/>
    <w:rsid w:val="665054B9"/>
    <w:rsid w:val="66D87988"/>
    <w:rsid w:val="674072DB"/>
    <w:rsid w:val="67D619EE"/>
    <w:rsid w:val="67F307F2"/>
    <w:rsid w:val="68264952"/>
    <w:rsid w:val="68914293"/>
    <w:rsid w:val="69224EEB"/>
    <w:rsid w:val="69272501"/>
    <w:rsid w:val="69A41DA4"/>
    <w:rsid w:val="6A0A597F"/>
    <w:rsid w:val="6A3D7B02"/>
    <w:rsid w:val="6A611A43"/>
    <w:rsid w:val="6A6D03E7"/>
    <w:rsid w:val="6AB73D58"/>
    <w:rsid w:val="6B234F4A"/>
    <w:rsid w:val="6B8C6709"/>
    <w:rsid w:val="6BE566A3"/>
    <w:rsid w:val="6BF87B65"/>
    <w:rsid w:val="6C450EF0"/>
    <w:rsid w:val="6C6D0B73"/>
    <w:rsid w:val="6D784291"/>
    <w:rsid w:val="6E076DA5"/>
    <w:rsid w:val="6E7206C2"/>
    <w:rsid w:val="6E775CD9"/>
    <w:rsid w:val="6F03756C"/>
    <w:rsid w:val="6F101C89"/>
    <w:rsid w:val="6F926B42"/>
    <w:rsid w:val="6FC30AAA"/>
    <w:rsid w:val="6FEC1DAE"/>
    <w:rsid w:val="7073427E"/>
    <w:rsid w:val="71A32941"/>
    <w:rsid w:val="72DA4A88"/>
    <w:rsid w:val="72FF629D"/>
    <w:rsid w:val="73A0182E"/>
    <w:rsid w:val="740C0C71"/>
    <w:rsid w:val="744523D5"/>
    <w:rsid w:val="74E7348C"/>
    <w:rsid w:val="75CB06B8"/>
    <w:rsid w:val="76796366"/>
    <w:rsid w:val="767C19B2"/>
    <w:rsid w:val="77044B75"/>
    <w:rsid w:val="771D13E7"/>
    <w:rsid w:val="7726029C"/>
    <w:rsid w:val="773F4EBA"/>
    <w:rsid w:val="781225CE"/>
    <w:rsid w:val="782347DB"/>
    <w:rsid w:val="784F3822"/>
    <w:rsid w:val="78D5702C"/>
    <w:rsid w:val="7A0D5743"/>
    <w:rsid w:val="7AEF309B"/>
    <w:rsid w:val="7B5A4DD2"/>
    <w:rsid w:val="7C224DAA"/>
    <w:rsid w:val="7C6F7FEF"/>
    <w:rsid w:val="7CA33D37"/>
    <w:rsid w:val="7D11554A"/>
    <w:rsid w:val="7D1E1A15"/>
    <w:rsid w:val="7D781125"/>
    <w:rsid w:val="7D7D4F2C"/>
    <w:rsid w:val="7EC02D84"/>
    <w:rsid w:val="7EC62364"/>
    <w:rsid w:val="7F363046"/>
    <w:rsid w:val="7FBD37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unhideWhenUsed/>
    <w:qFormat/>
    <w:uiPriority w:val="99"/>
    <w:pPr>
      <w:tabs>
        <w:tab w:val="center" w:pos="4153"/>
        <w:tab w:val="right" w:pos="8306"/>
      </w:tabs>
      <w:snapToGrid w:val="0"/>
      <w:jc w:val="left"/>
    </w:pPr>
    <w:rPr>
      <w:sz w:val="18"/>
      <w:szCs w:val="18"/>
    </w:rPr>
  </w:style>
  <w:style w:type="paragraph" w:styleId="3">
    <w:name w:val="Normal (Web)"/>
    <w:basedOn w:val="1"/>
    <w:autoRedefine/>
    <w:qFormat/>
    <w:uiPriority w:val="0"/>
    <w:pPr>
      <w:widowControl/>
      <w:spacing w:before="100" w:beforeAutospacing="1" w:after="100" w:afterAutospacing="1"/>
      <w:jc w:val="left"/>
    </w:pPr>
    <w:rPr>
      <w:rFonts w:ascii="宋体" w:hAnsi="宋体" w:cs="宋体"/>
      <w:sz w:val="24"/>
    </w:rPr>
  </w:style>
  <w:style w:type="character" w:styleId="6">
    <w:name w:val="Strong"/>
    <w:autoRedefine/>
    <w:qFormat/>
    <w:uiPriority w:val="0"/>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2868</Words>
  <Characters>2961</Characters>
  <Lines>0</Lines>
  <Paragraphs>0</Paragraphs>
  <TotalTime>159</TotalTime>
  <ScaleCrop>false</ScaleCrop>
  <LinksUpToDate>false</LinksUpToDate>
  <CharactersWithSpaces>2967</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2023-01-18T01:02:00Z</dcterms:created>
  <dc:creator>zwh</dc:creator>
  <cp:lastModifiedBy>Jade</cp:lastModifiedBy>
  <dcterms:modified xsi:type="dcterms:W3CDTF">2024-01-30T05:00:27Z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9151380C24BE4CF09A09E8BAD951CBFE_13</vt:lpwstr>
  </property>
</Properties>
</file>