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sans-serif" w:hAnsi="sans-serif" w:eastAsia="sans-serif" w:cs="sans-serif"/>
          <w:color w:val="444444"/>
          <w:sz w:val="51"/>
          <w:szCs w:val="51"/>
        </w:rPr>
      </w:pPr>
      <w:r>
        <w:rPr>
          <w:rFonts w:hint="default" w:ascii="sans-serif" w:hAnsi="sans-serif" w:eastAsia="sans-serif" w:cs="sans-serif"/>
          <w:i w:val="0"/>
          <w:caps w:val="0"/>
          <w:color w:val="444444"/>
          <w:spacing w:val="0"/>
          <w:sz w:val="51"/>
          <w:szCs w:val="51"/>
          <w:bdr w:val="none" w:color="auto" w:sz="0" w:space="0"/>
        </w:rPr>
        <w:t>中华人民共和国城市房地产管理法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(1994年7月5日第八届全国人民代表大会常务委员会第八次会议通过　根据2007年8月30日第十届全国人民代表大会常务委员会第二十九次会议《关于修改〈中华人民共和国</w:t>
      </w:r>
      <w:r>
        <w:rPr>
          <w:rFonts w:hint="eastAsia" w:ascii="宋体" w:hAnsi="宋体" w:eastAsia="宋体" w:cs="宋体"/>
          <w:b w:val="0"/>
          <w:i w:val="0"/>
          <w:caps w:val="0"/>
          <w:color w:val="222222"/>
          <w:spacing w:val="0"/>
          <w:sz w:val="24"/>
          <w:szCs w:val="24"/>
          <w:u w:val="none"/>
          <w:bdr w:val="none" w:color="auto" w:sz="0" w:space="0"/>
        </w:rPr>
        <w:fldChar w:fldCharType="begin"/>
      </w:r>
      <w:r>
        <w:rPr>
          <w:rFonts w:hint="eastAsia" w:ascii="宋体" w:hAnsi="宋体" w:eastAsia="宋体" w:cs="宋体"/>
          <w:b w:val="0"/>
          <w:i w:val="0"/>
          <w:caps w:val="0"/>
          <w:color w:val="222222"/>
          <w:spacing w:val="0"/>
          <w:sz w:val="24"/>
          <w:szCs w:val="24"/>
          <w:u w:val="none"/>
          <w:bdr w:val="none" w:color="auto" w:sz="0" w:space="0"/>
        </w:rPr>
        <w:instrText xml:space="preserve"> HYPERLINK "http://www.jiuwenlaw.com/fagui/1491.html" \o "城市房地产管理法" </w:instrText>
      </w:r>
      <w:r>
        <w:rPr>
          <w:rFonts w:hint="eastAsia" w:ascii="宋体" w:hAnsi="宋体" w:eastAsia="宋体" w:cs="宋体"/>
          <w:b w:val="0"/>
          <w:i w:val="0"/>
          <w:caps w:val="0"/>
          <w:color w:val="222222"/>
          <w:spacing w:val="0"/>
          <w:sz w:val="24"/>
          <w:szCs w:val="24"/>
          <w:u w:val="none"/>
          <w:bdr w:val="none" w:color="auto" w:sz="0" w:space="0"/>
        </w:rPr>
        <w:fldChar w:fldCharType="separate"/>
      </w:r>
      <w:r>
        <w:rPr>
          <w:rStyle w:val="6"/>
          <w:rFonts w:hint="eastAsia" w:ascii="宋体" w:hAnsi="宋体" w:eastAsia="宋体" w:cs="宋体"/>
          <w:b w:val="0"/>
          <w:i w:val="0"/>
          <w:caps w:val="0"/>
          <w:color w:val="222222"/>
          <w:spacing w:val="0"/>
          <w:sz w:val="24"/>
          <w:szCs w:val="24"/>
          <w:u w:val="none"/>
          <w:bdr w:val="none" w:color="auto" w:sz="0" w:space="0"/>
        </w:rPr>
        <w:t>城市房地产管理法</w:t>
      </w:r>
      <w:r>
        <w:rPr>
          <w:rFonts w:hint="eastAsia" w:ascii="宋体" w:hAnsi="宋体" w:eastAsia="宋体" w:cs="宋体"/>
          <w:b w:val="0"/>
          <w:i w:val="0"/>
          <w:caps w:val="0"/>
          <w:color w:val="222222"/>
          <w:spacing w:val="0"/>
          <w:sz w:val="24"/>
          <w:szCs w:val="24"/>
          <w:u w:val="none"/>
          <w:bdr w:val="none" w:color="auto" w:sz="0" w:space="0"/>
        </w:rPr>
        <w:fldChar w:fldCharType="end"/>
      </w:r>
      <w:r>
        <w:rPr>
          <w:rFonts w:hint="eastAsia" w:ascii="宋体" w:hAnsi="宋体" w:eastAsia="宋体" w:cs="宋体"/>
          <w:b w:val="0"/>
          <w:i w:val="0"/>
          <w:caps w:val="0"/>
          <w:color w:val="333333"/>
          <w:spacing w:val="0"/>
          <w:sz w:val="24"/>
          <w:szCs w:val="24"/>
          <w:bdr w:val="none" w:color="auto" w:sz="0" w:space="0"/>
        </w:rPr>
        <w:t>〉的决定》第一次修正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w:t>
      </w:r>
      <w:r>
        <w:rPr>
          <w:rFonts w:hint="eastAsia" w:ascii="宋体" w:hAnsi="宋体" w:eastAsia="宋体" w:cs="宋体"/>
          <w:b w:val="0"/>
          <w:i w:val="0"/>
          <w:caps w:val="0"/>
          <w:color w:val="222222"/>
          <w:spacing w:val="0"/>
          <w:sz w:val="24"/>
          <w:szCs w:val="24"/>
          <w:u w:val="none"/>
          <w:bdr w:val="none" w:color="auto" w:sz="0" w:space="0"/>
        </w:rPr>
        <w:fldChar w:fldCharType="begin"/>
      </w:r>
      <w:r>
        <w:rPr>
          <w:rFonts w:hint="eastAsia" w:ascii="宋体" w:hAnsi="宋体" w:eastAsia="宋体" w:cs="宋体"/>
          <w:b w:val="0"/>
          <w:i w:val="0"/>
          <w:caps w:val="0"/>
          <w:color w:val="222222"/>
          <w:spacing w:val="0"/>
          <w:sz w:val="24"/>
          <w:szCs w:val="24"/>
          <w:u w:val="none"/>
          <w:bdr w:val="none" w:color="auto" w:sz="0" w:space="0"/>
        </w:rPr>
        <w:instrText xml:space="preserve"> HYPERLINK "http://www.jiuwenlaw.com/fagui/354.html" \o "土地管理法" </w:instrText>
      </w:r>
      <w:r>
        <w:rPr>
          <w:rFonts w:hint="eastAsia" w:ascii="宋体" w:hAnsi="宋体" w:eastAsia="宋体" w:cs="宋体"/>
          <w:b w:val="0"/>
          <w:i w:val="0"/>
          <w:caps w:val="0"/>
          <w:color w:val="222222"/>
          <w:spacing w:val="0"/>
          <w:sz w:val="24"/>
          <w:szCs w:val="24"/>
          <w:u w:val="none"/>
          <w:bdr w:val="none" w:color="auto" w:sz="0" w:space="0"/>
        </w:rPr>
        <w:fldChar w:fldCharType="separate"/>
      </w:r>
      <w:r>
        <w:rPr>
          <w:rStyle w:val="6"/>
          <w:rFonts w:hint="eastAsia" w:ascii="宋体" w:hAnsi="宋体" w:eastAsia="宋体" w:cs="宋体"/>
          <w:b w:val="0"/>
          <w:i w:val="0"/>
          <w:caps w:val="0"/>
          <w:color w:val="222222"/>
          <w:spacing w:val="0"/>
          <w:sz w:val="24"/>
          <w:szCs w:val="24"/>
          <w:u w:val="none"/>
          <w:bdr w:val="none" w:color="auto" w:sz="0" w:space="0"/>
        </w:rPr>
        <w:t>土地管理法</w:t>
      </w:r>
      <w:r>
        <w:rPr>
          <w:rFonts w:hint="eastAsia" w:ascii="宋体" w:hAnsi="宋体" w:eastAsia="宋体" w:cs="宋体"/>
          <w:b w:val="0"/>
          <w:i w:val="0"/>
          <w:caps w:val="0"/>
          <w:color w:val="222222"/>
          <w:spacing w:val="0"/>
          <w:sz w:val="24"/>
          <w:szCs w:val="24"/>
          <w:u w:val="none"/>
          <w:bdr w:val="none" w:color="auto" w:sz="0" w:space="0"/>
        </w:rPr>
        <w:fldChar w:fldCharType="end"/>
      </w:r>
      <w:r>
        <w:rPr>
          <w:rFonts w:hint="eastAsia" w:ascii="宋体" w:hAnsi="宋体" w:eastAsia="宋体" w:cs="宋体"/>
          <w:b w:val="0"/>
          <w:i w:val="0"/>
          <w:caps w:val="0"/>
          <w:color w:val="333333"/>
          <w:spacing w:val="0"/>
          <w:sz w:val="24"/>
          <w:szCs w:val="24"/>
          <w:bdr w:val="none" w:color="auto" w:sz="0" w:space="0"/>
        </w:rPr>
        <w:t>〉、〈中华人民共和国</w:t>
      </w:r>
      <w:r>
        <w:rPr>
          <w:rFonts w:hint="eastAsia" w:ascii="宋体" w:hAnsi="宋体" w:eastAsia="宋体" w:cs="宋体"/>
          <w:b w:val="0"/>
          <w:i w:val="0"/>
          <w:caps w:val="0"/>
          <w:color w:val="222222"/>
          <w:spacing w:val="0"/>
          <w:sz w:val="24"/>
          <w:szCs w:val="24"/>
          <w:u w:val="none"/>
          <w:bdr w:val="none" w:color="auto" w:sz="0" w:space="0"/>
        </w:rPr>
        <w:fldChar w:fldCharType="begin"/>
      </w:r>
      <w:r>
        <w:rPr>
          <w:rFonts w:hint="eastAsia" w:ascii="宋体" w:hAnsi="宋体" w:eastAsia="宋体" w:cs="宋体"/>
          <w:b w:val="0"/>
          <w:i w:val="0"/>
          <w:caps w:val="0"/>
          <w:color w:val="222222"/>
          <w:spacing w:val="0"/>
          <w:sz w:val="24"/>
          <w:szCs w:val="24"/>
          <w:u w:val="none"/>
          <w:bdr w:val="none" w:color="auto" w:sz="0" w:space="0"/>
        </w:rPr>
        <w:instrText xml:space="preserve"> HYPERLINK "http://www.jiuwenlaw.com/fagui/10613.html" \o "城市房地产管理法" </w:instrText>
      </w:r>
      <w:r>
        <w:rPr>
          <w:rFonts w:hint="eastAsia" w:ascii="宋体" w:hAnsi="宋体" w:eastAsia="宋体" w:cs="宋体"/>
          <w:b w:val="0"/>
          <w:i w:val="0"/>
          <w:caps w:val="0"/>
          <w:color w:val="222222"/>
          <w:spacing w:val="0"/>
          <w:sz w:val="24"/>
          <w:szCs w:val="24"/>
          <w:u w:val="none"/>
          <w:bdr w:val="none" w:color="auto" w:sz="0" w:space="0"/>
        </w:rPr>
        <w:fldChar w:fldCharType="separate"/>
      </w:r>
      <w:r>
        <w:rPr>
          <w:rStyle w:val="6"/>
          <w:rFonts w:hint="eastAsia" w:ascii="宋体" w:hAnsi="宋体" w:eastAsia="宋体" w:cs="宋体"/>
          <w:b w:val="0"/>
          <w:i w:val="0"/>
          <w:caps w:val="0"/>
          <w:color w:val="222222"/>
          <w:spacing w:val="0"/>
          <w:sz w:val="24"/>
          <w:szCs w:val="24"/>
          <w:u w:val="none"/>
          <w:bdr w:val="none" w:color="auto" w:sz="0" w:space="0"/>
        </w:rPr>
        <w:t>城市房地产管理法</w:t>
      </w:r>
      <w:r>
        <w:rPr>
          <w:rFonts w:hint="eastAsia" w:ascii="宋体" w:hAnsi="宋体" w:eastAsia="宋体" w:cs="宋体"/>
          <w:b w:val="0"/>
          <w:i w:val="0"/>
          <w:caps w:val="0"/>
          <w:color w:val="222222"/>
          <w:spacing w:val="0"/>
          <w:sz w:val="24"/>
          <w:szCs w:val="24"/>
          <w:u w:val="none"/>
          <w:bdr w:val="none" w:color="auto" w:sz="0" w:space="0"/>
        </w:rPr>
        <w:fldChar w:fldCharType="end"/>
      </w:r>
      <w:r>
        <w:rPr>
          <w:rFonts w:hint="eastAsia" w:ascii="宋体" w:hAnsi="宋体" w:eastAsia="宋体" w:cs="宋体"/>
          <w:b w:val="0"/>
          <w:i w:val="0"/>
          <w:caps w:val="0"/>
          <w:color w:val="333333"/>
          <w:spacing w:val="0"/>
          <w:sz w:val="24"/>
          <w:szCs w:val="24"/>
          <w:bdr w:val="none" w:color="auto" w:sz="0" w:space="0"/>
        </w:rPr>
        <w:t>〉的决定》第三次修正)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第二章　房地产开发用地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    第一节　土地使用权出让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    第二节　土地使用权划拨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第三章　房地产开发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第四章　房地产交易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第二节　房地产转让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第三节　房地产抵押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第四节　房屋租赁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第五节　中介服务机构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第五章　房地产权属登记管理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第一条　为了加强对城市房地产的管理，维护房地产市场秩序，保障房地产权利人的合法权益，促进房地产业的健康发展，制定本法。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第二条　在中华人民共和国城市规划区国有土地(以下简称国有土地)范围内取得房地产开发用地的土地使用权，从事房地产开发、房地产交易，实施房地产管理，应当遵守本法。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本法所称房屋，是指土地上的房屋等建筑物及构筑物。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本法所称房地产开发，是指在依据本法取得国有土地使用权的土地上进行基础设施、房屋建设的行为。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本法所称房地产交易，包括房地产转让、房地产抵押和房屋租赁。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第三条　国家依法实行国有土地有偿、有限期使用制度。但是，国家在本法规定的范围内划拨国有土地使用权的除外。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第四条　国家根据社会、经济发展水平，扶持发展居民住宅建设，逐步改善居民的居住条件。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第五条　房地产权利人应当遵守法律和行政法规，依法纳税。房地产权利人的合法权益受法律保护，任何单位和个人不得侵犯。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第六条　为了公共利益的需要，国家可以征收国有土地上单位和个人的房屋，并依法给予拆迁补偿，维护被征收人的合法权益;征收个人住宅的，还应当保障被征收人的居住条件。具体办法由国务院规定。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第七条　国务院建设行政主管部门、土地管理部门依照国务院规定的职权划分，各司其职，密切配合，管理全国房地产工作。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县级以上地方人民政府房产管理、土地管理部门的机构设置及其职权由省、自治区、直辖市人民政府确定。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第二章　房地产开发用地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    第一节　土地使用权出让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第八条　土地使用权出让，是指国家将国有土地使用权(以下简称土地使用权)在一定年限内出让给土地使用者，由土地使用者向国家支付土地使用权出让金的行为。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第九条　城市规划区内的集体所有的土地，经依法征收转为国有土地后，该幅国有土地的使用权方可有偿出让，但法律另有规定的除外。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第十条　土地使用权出让，必须符合土地利用总体规划、城市规划和年度建设用地计划。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第十一条　县级以上地方人民政府出让土地使用权用于房地产开发的，须根据省级以上人民政府下达的控制指标拟订年度出让土地使用权总面积方案，按照国务院规定，报国务院或者省级人民政府批准。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直辖市的县人民政府及其有关部门行使前款规定的权限，由直辖市人民政府规定。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第十三条　土地使用权出让，可以采取拍卖、招标或者双方协议的方式。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商业、旅游、娱乐和豪华住宅用地，有条件的，必须采取拍卖、招标方式;没有条件，不能采取拍卖、招标方式的，可以采取双方协议的方式。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采取双方协议方式出让土地使用权的出让金不得低于按国家规定所确定的最低价。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第十四条　土地使用权出让最高年限由国务院规定。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第十五条　土地使用权出让，应当签订书面出让合同。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土地使用权出让合同由市、县人民政府土地管理部门与土地使用者签订。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第十六条　土地使用者必须按照出让合同约定，支付土地使用权出让金;未按照出让合同约定支付土地使用权出让金的，土地管理部门有权解除合同，并可以请求违约赔偿。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第十九条　土地使用权出让金应当全部上缴财政，列入预算，用于城市基础设施建设和土地开发。土地使用权出让金上缴和使用的具体办法由国务院规定。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第二十一条　土地使用权因土地灭失而终止。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土地使用权出让合同约定的使用年限届满，土地使用者未申请续期或者虽申请续期但依照前款规定未获批准的，土地使用权由国家无偿收回。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第二节　土地使用权划拨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第二十三条　土地使用权划拨，是指县级以上人民政府依法批准，在土地使用者缴纳补偿、安置等费用后将该幅土地交付其使用，或者将土地使用权无偿交付给土地使用者使用的行为。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依照本法规定以划拨方式取得土地使用权的，除法律、行政法规另有规定外，没有使用期限的限制。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第二十四条　下列建设用地的土地使用权，确属必需的，可以由县级以上人民政府依法批准划拨：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(一)国家机关用地和军事用地;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(二)城市基础设施用地和公益事业用地;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(三)国家重点扶持的能源、交通、水利等项目用地;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(四)法律、行政法规规定的其他用地。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第三章　房地产开发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第二十五条　房地产开发必须严格执行城市规划，按照经济效益、社会效益、环境效益相统一的原则，实行全面规划、合理布局、综合开发、配套建设。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第二十七条　房地产开发项目的设计、施工，必须符合国家的有关标准和规范。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房地产开发项目竣工，经验收合格后，方可交付使用。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第二十八条　依法取得的土地使用权，可以依照本法和有关法律、行政法规的规定，作价入股，合资、合作开发经营房地产。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第二十九条　国家采取税收等方面的优惠措施鼓励和扶持房地产开发企业开发建设居民住宅。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第三十条　房地产开发企业是以营利为目的，从事房地产开发和经营的企业。设立房地产开发企业，应当具备下列条件：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(一)有自己的名称和组织机构;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(二)有固定的经营场所;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(三)有符合国务院规定的注册资本;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(四)有足够的专业技术人员;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(五)法律、行政法规规定的其他条件。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设立房地产开发企业，应当向工商行政管理部门申请设立登记。工商行政管理部门对符合本法规定条件的，应当予以登记，发给营业执照;对不符合本法规定条件的，不予登记。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设立有限责任公司、股份有限公司，从事房地产开发经营的，还应当执行公司法的有关规定。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房地产开发企业在领取营业执照后的一个月内，应当到登记机关所在地的县级以上地方人民政府规定的部门备案。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第三十一条　房地产开发企业的注册资本与投资总额的比例应当符合国家有关规定。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房地产开发企业分期开发房地产的，分期投资额应当与项目规模相适应，并按照土地使用权出让合同的约定，按期投入资金，用于项目建设。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第四章　房地产交易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第三十二条　房地产转让、抵押时，房屋的所有权和该房屋占用范围内的土地使用权同时转让、抵押。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第三十三条　基准地价、标定地价和各类房屋的重置价格应当定期确定并公布。具体办法由国务院规定。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第三十四条　国家实行房地产价格评估制度。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房地产价格评估，应当遵循公正、公平、公开的原则，按照国家规定的技术标准和评估程序，以基准地价、标定地价和各类房屋的重置价格为基础，参照当地的市场价格进行评估。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第三十五条　国家实行房地产成交价格申报制度。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房地产权利人转让房地产，应当向县级以上地方人民政府规定的部门如实申报成交价，不得瞒报或者作不实的申报。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第三十六条　房地产转让、抵押，当事人应当依照本法第五章的规定办理权属登记。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第二节　房地产转让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第三十七条　房地产转让，是指房地产权利人通过买卖、赠与或者其他合法方式将其房地产转移给他人的行为。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第三十八条　下列房地产，不得转让：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(一)以出让方式取得土地使用权的，不符合本法第三十九条规定的条件的;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(二)司法机关和行政机关依法裁定、决定查封或者以其他形式限制房地产权利的;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(三)依法收回土地使用权的;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(四)共有房地产，未经其他共有人书面同意的;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(五)权属有争议的;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(六)未依法登记领取权属证书的;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(七)法律、行政法规规定禁止转让的其他情形。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第三十九条　以出让方式取得土地使用权的，转让房地产时，应当符合下列条件：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(一)按照出让合同约定已经支付全部土地使用权出让金，并取得土地使用权证书;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(二)按照出让合同约定进行投资开发，属于房屋建设工程的，完成开发投资总额的百分之二十五以上，属于成片开发土地的，形成工业用地或者其他建设用地条件。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转让房地产时房屋已经建成的，还应当持有房屋所有权证书。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第四十一条　房地产转让，应当签订书面转让合同，合同中应当载明土地使用权取得的方式。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第四十二条　房地产转让时，土地使用权出让合同载明的权利、义务随之转移。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第四十三条　以出让方式取得土地使用权的，转让房地产后，其土地使用权的使用年限为原土地使用权出让合同约定的使用年限减去原土地使用者已经使用年限后的剩余年限。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第四十五条　商品房预售，应当符合下列条件：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(一)已交付全部土地使用权出让金，取得土地使用权证书;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(二)持有建设工程规划许可证;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(三)按提供预售的商品房计算，投入开发建设的资金达到工程建设总投资的百分之二十五以上，并已经确定施工进度和竣工交付日期;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(四)向县级以上人民政府房产管理部门办理预售登记，取得商品房预售许可证明。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商品房预售人应当按照国家有关规定将预售合同报县级以上人民政府房产管理部门和土地管理部门登记备案。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商品房预售所得款项，必须用于有关的工程建设。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第四十六条　商品房预售的，商品房预购人将购买的未竣工的预售商品房再行转让的问题，由国务院规定。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第三节　房地产抵押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第四十七条　房地产抵押，是指抵押人以其合法的房地产以不转移占有的方式向抵押权人提供债务履行担保的行为。债务人不履行债务时，抵押权人有权依法以抵押的房地产拍卖所得的价款优先受偿。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第四十八条　依法取得的房屋所有权连同该房屋占用范围内的土地使用权，可以设定抵押权。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以出让方式取得的土地使用权，可以设定抵押权。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第四十九条　房地产抵押，应当凭土地使用权证书、房屋所有权证书办理。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第五十条　房地产抵押，抵押人和抵押权人应当签订书面抵押合同。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第五十一条　设定房地产抵押权的土地使用权是以划拨方式取得的，依法拍卖该房地产后，应当从拍卖所得的价款中缴纳相当于应缴纳的土地使用权出让金的款额后，抵押权人方可优先受偿。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第五十二条　房地产抵押合同签订后，土地上新增的房屋不属于抵押财产。需要拍卖该抵押的房地产时，可以依法将土地上新增的房屋与抵押财产一同拍卖，但对拍卖新增房屋所得，抵押权人无权优先受偿。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第四节　房屋租赁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第五十三条　房屋租赁，是指房屋所有权人作为出租人将其房屋出租给承租人使用，由承租人向出租人支付租金的行为。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第五十四条　房屋租赁，出租人和承租人应当签订书面租赁合同，约定租赁期限、租赁用途、租赁价格、修缮责任等条款，以及双方的其他权利和义务，并向房产管理部门登记备案。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第五十五条　住宅用房的租赁，应当执行国家和房屋所在城市人民政府规定的租赁政策。租用房屋从事生产、经营活动的，由租赁双方协商议定租金和其他租赁条款。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第五十六条　以营利为目的，房屋所有权人将以划拨方式取得使用权的国有土地上建成的房屋出租的，应当将租金中所含土地收益上缴国家。具体办法由国务院规定。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第五节　中介服务机构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第五十七条　房地产中介服务机构包括房地产咨询机构、房地产价格评估机构、房地产经纪机构等。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第五十八条　房地产中介服务机构应当具备下列条件：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(一)有自己的名称和组织机构;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(二)有固定的服务场所;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(三)有必要的财产和经费;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(四)有足够数量的专业人员;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(五)法律、行政法规规定的其他条件。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设立房地产中介服务机构，应当向工商行政管理部门申请设立登记，领取营业执照后，方可开业。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第五十九条　国家实行房地产价格评估人员资格认证制度。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第五章　房地产权属登记管理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第六十条　国家实行土地使用权和房屋所有权登记发证制度。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第六十一条　以出让或者划拨方式取得土地使用权，应当向县级以上地方人民政府土地管理部门申请登记，经县级以上地方人民政府土地管理部门核实，由同级人民政府颁发土地使用权证书。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在依法取得的房地产开发用地上建成房屋的，应当凭土地使用权证书向县级以上地方人民政府房产管理部门申请登记，由县级以上地方人民政府房产管理部门核实并颁发房屋所有权证书。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法律另有规定的，依照有关法律的规定办理。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第六十二条　房地产抵押时，应当向县级以上地方人民政府规定的部门办理抵押登记。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因处分抵押房地产而取得土地使用权和房屋所有权的，应当依照本章规定办理过户登记。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第六十四条　违反本法第十一条、第十二条的规定，擅自批准出让或者擅自出让土地使用权用于房地产开发的，由上级机关或者所在单位给予有关责任人员行政处分。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第六十五条　违反本法第三十条的规定，未取得营业执照擅自从事房地产开发业务的，由县级以上人民政府工商行政管理部门责令停止房地产开发业务活动，没收违法所得，可以并处罚款。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第六十六条　违反本法第三十九条第一款的规定转让土地使用权的，由县级以上人民政府土地管理部门没收违法所得，可以并处罚款。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第六十七条　违反本法第四十条第一款的规定转让房地产的，由县级以上人民政府土地管理部门责令缴纳土地使用权出让金，没收违法所得，可以并处罚款。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第六十八条　违反本法第四十五条第一款的规定预售商品房的，由县级以上人民政府房产管理部门责令停止预售活动，没收违法所得，可以并处罚款。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第六十九条　违反本法第五十八条的规定，未取得营业执照擅自从事房地产中介服务业务的，由县级以上人民政府工商行政管理部门责令停止房地产中介服务业务活动，没收违法所得，可以并处罚款。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第七十条　没有法律、法规的依据，向房地产开发企业收费的，上级机关应当责令退回所收取的钱款;情节严重的，由上级机关或者所在单位给予直接责任人员行政处分。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第七十一条　房产管理部门、土地管理部门工作人员玩忽职守、滥用职权，构成犯罪的，依法追究刑事责任;不构成犯罪的，给予行政处分。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房产管理部门、土地管理部门工作人员利用职务上的便利，索取他人财物，或者非法收受他人财物为他人谋取利益，构成犯罪的，依法追究刑事责任;不构成犯罪的，给予行政处分。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center"/>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第七十二条　在城市规划区外的国有土地范围内取得房地产开发用地的土地使用权，从事房地产开发、交易活动以及实施房地产管理，参照本法执行。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bdr w:val="none" w:color="auto" w:sz="0" w:space="0"/>
        </w:rPr>
        <w:t>第七十三条　本法自1995年1月1日起施行。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60E8F"/>
    <w:rsid w:val="3246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2022-11-25T09:44:00Z</dcterms:created>
  <dc:creator>Administrator</dc:creator>
  <cp:lastModifiedBy>Administrator</cp:lastModifiedBy>
  <dcterms:modified xsi:type="dcterms:W3CDTF">2022-11-25T09:45:17Z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