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eastAsia="方正仿宋简体"/>
          <w:b/>
          <w:sz w:val="32"/>
          <w:szCs w:val="32"/>
        </w:rPr>
      </w:pPr>
      <w:bookmarkStart w:id="0" w:name="_GoBack"/>
      <w:bookmarkEnd w:id="0"/>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eastAsia="方正仿宋简体"/>
          <w:b/>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eastAsia="方正仿宋简体"/>
          <w:b/>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eastAsia="方正仿宋简体"/>
          <w:b/>
          <w:sz w:val="32"/>
          <w:szCs w:val="32"/>
        </w:rPr>
      </w:pPr>
    </w:p>
    <w:p>
      <w:pPr>
        <w:pStyle w:val="2"/>
        <w:jc w:val="both"/>
        <w:rPr>
          <w:rFonts w:hint="eastAsia"/>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eastAsia="方正仿宋简体"/>
          <w:b/>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Times New Roman" w:hAnsi="Times New Roman" w:eastAsia="方正仿宋简体"/>
          <w:b/>
          <w:sz w:val="32"/>
          <w:szCs w:val="32"/>
        </w:rPr>
      </w:pPr>
      <w:r>
        <w:rPr>
          <w:rFonts w:hint="eastAsia" w:ascii="Times New Roman" w:hAnsi="Times New Roman" w:eastAsia="方正仿宋简体"/>
          <w:b/>
          <w:sz w:val="32"/>
          <w:szCs w:val="32"/>
        </w:rPr>
        <w:t>曲文旅字〔202</w:t>
      </w:r>
      <w:r>
        <w:rPr>
          <w:rFonts w:hint="eastAsia" w:ascii="Times New Roman" w:hAnsi="Times New Roman" w:eastAsia="方正仿宋简体"/>
          <w:b/>
          <w:sz w:val="32"/>
          <w:szCs w:val="32"/>
          <w:lang w:val="en-US" w:eastAsia="zh-CN"/>
        </w:rPr>
        <w:t>3</w:t>
      </w:r>
      <w:r>
        <w:rPr>
          <w:rFonts w:hint="eastAsia" w:ascii="Times New Roman" w:hAnsi="Times New Roman" w:eastAsia="方正仿宋简体"/>
          <w:b/>
          <w:sz w:val="32"/>
          <w:szCs w:val="32"/>
        </w:rPr>
        <w:t>〕</w:t>
      </w:r>
      <w:r>
        <w:rPr>
          <w:rFonts w:hint="eastAsia" w:ascii="Times New Roman" w:hAnsi="Times New Roman" w:eastAsia="方正仿宋简体"/>
          <w:b/>
          <w:sz w:val="32"/>
          <w:szCs w:val="32"/>
          <w:lang w:val="en-US" w:eastAsia="zh-CN"/>
        </w:rPr>
        <w:t>11</w:t>
      </w:r>
      <w:r>
        <w:rPr>
          <w:rFonts w:hint="eastAsia" w:ascii="Times New Roman" w:hAnsi="Times New Roman" w:eastAsia="方正仿宋简体"/>
          <w:b/>
          <w:sz w:val="32"/>
          <w:szCs w:val="32"/>
        </w:rPr>
        <w:t>号</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Times New Roman" w:hAnsi="Times New Roman" w:eastAsia="方正小标宋简体" w:cs="宋体"/>
          <w:b/>
          <w:kern w:val="36"/>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eastAsia="方正小标宋简体" w:cs="宋体"/>
          <w:b/>
          <w:kern w:val="36"/>
          <w:sz w:val="44"/>
          <w:szCs w:val="44"/>
        </w:rPr>
      </w:pPr>
      <w:r>
        <w:rPr>
          <w:rFonts w:hint="eastAsia" w:ascii="Times New Roman" w:hAnsi="Times New Roman" w:eastAsia="方正小标宋简体" w:cs="宋体"/>
          <w:b/>
          <w:kern w:val="36"/>
          <w:sz w:val="44"/>
          <w:szCs w:val="44"/>
        </w:rPr>
        <w:t>曲阜市文化和旅游局</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eastAsia="方正小标宋简体" w:cs="宋体"/>
          <w:b/>
          <w:kern w:val="36"/>
          <w:sz w:val="44"/>
          <w:szCs w:val="44"/>
        </w:rPr>
      </w:pPr>
      <w:r>
        <w:rPr>
          <w:rFonts w:hint="eastAsia" w:ascii="Times New Roman" w:hAnsi="Times New Roman" w:eastAsia="方正小标宋简体" w:cs="宋体"/>
          <w:b/>
          <w:kern w:val="36"/>
          <w:sz w:val="44"/>
          <w:szCs w:val="44"/>
        </w:rPr>
        <w:t>关于2022年度法治政府建设</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eastAsia="方正小标宋简体" w:cs="宋体"/>
          <w:b/>
          <w:kern w:val="36"/>
          <w:sz w:val="44"/>
          <w:szCs w:val="44"/>
        </w:rPr>
      </w:pPr>
      <w:r>
        <w:rPr>
          <w:rFonts w:hint="eastAsia" w:ascii="Times New Roman" w:hAnsi="Times New Roman" w:eastAsia="方正小标宋简体" w:cs="宋体"/>
          <w:b/>
          <w:kern w:val="36"/>
          <w:sz w:val="44"/>
          <w:szCs w:val="44"/>
        </w:rPr>
        <w:t>工作情况的报告</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Times New Roman" w:hAnsi="Times New Roman" w:cs="宋体"/>
          <w:kern w:val="36"/>
          <w:sz w:val="44"/>
          <w:szCs w:val="44"/>
        </w:rPr>
      </w:pPr>
    </w:p>
    <w:p>
      <w:pPr>
        <w:keepNext w:val="0"/>
        <w:keepLines w:val="0"/>
        <w:pageBreakBefore w:val="0"/>
        <w:widowControl w:val="0"/>
        <w:kinsoku/>
        <w:overflowPunct/>
        <w:topLinePunct w:val="0"/>
        <w:autoSpaceDE/>
        <w:autoSpaceDN/>
        <w:bidi w:val="0"/>
        <w:adjustRightInd/>
        <w:snapToGrid/>
        <w:spacing w:line="560" w:lineRule="exact"/>
        <w:textAlignment w:val="auto"/>
        <w:rPr>
          <w:rFonts w:ascii="Times New Roman" w:hAnsi="Times New Roman" w:cs="宋体"/>
          <w:b/>
          <w:kern w:val="36"/>
          <w:sz w:val="44"/>
          <w:szCs w:val="44"/>
        </w:rPr>
      </w:pPr>
      <w:r>
        <w:rPr>
          <w:rFonts w:ascii="Times New Roman" w:hAnsi="Times New Roman" w:eastAsia="仿宋"/>
          <w:b/>
          <w:bCs/>
          <w:color w:val="000000"/>
          <w:sz w:val="32"/>
          <w:szCs w:val="32"/>
        </w:rPr>
        <w:t>市委全面依法治市委员会</w:t>
      </w:r>
      <w:r>
        <w:rPr>
          <w:rFonts w:hint="eastAsia" w:ascii="Times New Roman" w:hAnsi="Times New Roman" w:eastAsia="仿宋"/>
          <w:b/>
          <w:bCs/>
          <w:color w:val="000000"/>
          <w:sz w:val="32"/>
          <w:szCs w:val="32"/>
        </w:rPr>
        <w:t>办公室：</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 w:cs="仿宋"/>
          <w:b/>
          <w:sz w:val="32"/>
          <w:szCs w:val="32"/>
        </w:rPr>
      </w:pPr>
      <w:r>
        <w:rPr>
          <w:rFonts w:hint="eastAsia" w:ascii="Times New Roman" w:hAnsi="Times New Roman" w:eastAsia="仿宋" w:cs="仿宋"/>
          <w:b/>
          <w:sz w:val="32"/>
          <w:szCs w:val="32"/>
        </w:rPr>
        <w:t>2022年，曲阜市文化和旅游局深入贯彻党的二十大精神，在市委的坚强领导下，落实市委全面依法治市委员会工作会议精神，完善行政决策机制、规范行政执法行为、落实执法普法责任，将法治政府建设的各项要求落到实处，扎实推动法治政府建设。具体工作中，设立政策法规科具体履行依法行政职责，持续深化依法行政、依规履职的法治意识和法治观念，各项工作取得了新进展。</w:t>
      </w:r>
      <w:r>
        <w:rPr>
          <w:rFonts w:hint="eastAsia" w:ascii="Times New Roman" w:hAnsi="Times New Roman" w:eastAsia="仿宋"/>
          <w:b/>
          <w:bCs/>
          <w:sz w:val="32"/>
          <w:szCs w:val="32"/>
        </w:rPr>
        <w:t>现将市文旅局2022年法治建设工作情况和2023年工作要点报告如下：</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黑体"/>
          <w:b/>
          <w:bCs/>
          <w:sz w:val="32"/>
          <w:szCs w:val="32"/>
        </w:rPr>
      </w:pPr>
      <w:r>
        <w:rPr>
          <w:rFonts w:hint="eastAsia" w:ascii="Times New Roman" w:hAnsi="Times New Roman" w:eastAsia="黑体"/>
          <w:b/>
          <w:bCs/>
          <w:sz w:val="32"/>
          <w:szCs w:val="32"/>
        </w:rPr>
        <w:t>一、2022年法治建设工作总结</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textAlignment w:val="auto"/>
        <w:outlineLvl w:val="0"/>
        <w:rPr>
          <w:rFonts w:ascii="Times New Roman" w:hAnsi="Times New Roman" w:eastAsia="楷体"/>
          <w:b/>
          <w:bCs/>
          <w:color w:val="000000"/>
          <w:sz w:val="32"/>
          <w:szCs w:val="32"/>
        </w:rPr>
      </w:pPr>
      <w:r>
        <w:rPr>
          <w:rFonts w:hint="eastAsia" w:ascii="Times New Roman" w:hAnsi="Times New Roman" w:eastAsia="楷体"/>
          <w:b/>
          <w:bCs/>
          <w:color w:val="000000"/>
          <w:sz w:val="32"/>
          <w:szCs w:val="32"/>
        </w:rPr>
        <w:t>强化法治思维，聚力提升法治政府观念</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outlineLvl w:val="0"/>
        <w:rPr>
          <w:rFonts w:ascii="Times New Roman" w:hAnsi="Times New Roman" w:eastAsia="仿宋" w:cs="仿宋"/>
          <w:b/>
          <w:sz w:val="32"/>
          <w:szCs w:val="32"/>
        </w:rPr>
      </w:pPr>
      <w:r>
        <w:rPr>
          <w:rFonts w:ascii="Times New Roman" w:hAnsi="Times New Roman" w:eastAsia="仿宋" w:cs="仿宋"/>
          <w:b/>
          <w:sz w:val="32"/>
          <w:szCs w:val="32"/>
        </w:rPr>
        <w:t>坚持将法治建设工作作为重点，</w:t>
      </w:r>
      <w:r>
        <w:rPr>
          <w:rFonts w:hint="eastAsia" w:ascii="Times New Roman" w:hAnsi="Times New Roman" w:eastAsia="仿宋" w:cs="仿宋"/>
          <w:b/>
          <w:sz w:val="32"/>
          <w:szCs w:val="32"/>
        </w:rPr>
        <w:t>持续推进履行法治建设第一责任人职责，</w:t>
      </w:r>
      <w:r>
        <w:rPr>
          <w:rFonts w:ascii="Times New Roman" w:hAnsi="Times New Roman" w:eastAsia="仿宋" w:cs="仿宋"/>
          <w:b/>
          <w:sz w:val="32"/>
          <w:szCs w:val="32"/>
        </w:rPr>
        <w:t>根据人事变动和工作需要及时调整依法行政工作领导小组成员，由局主要负责同志任组长，作为依法行政第一责任人，班子成员任副组长，各</w:t>
      </w:r>
      <w:r>
        <w:rPr>
          <w:rFonts w:hint="eastAsia" w:ascii="Times New Roman" w:hAnsi="Times New Roman" w:eastAsia="仿宋" w:cs="仿宋"/>
          <w:b/>
          <w:sz w:val="32"/>
          <w:szCs w:val="32"/>
        </w:rPr>
        <w:t>科</w:t>
      </w:r>
      <w:r>
        <w:rPr>
          <w:rFonts w:ascii="Times New Roman" w:hAnsi="Times New Roman" w:eastAsia="仿宋" w:cs="仿宋"/>
          <w:b/>
          <w:sz w:val="32"/>
          <w:szCs w:val="32"/>
        </w:rPr>
        <w:t>室及局属单位负责人为成员。局党组多次召开会议，研究部署依法行政相关工作，定期听取依法行政工作汇报。年初制定法治政府建设工作计划，将法治建设纳入全局年度工作要点和</w:t>
      </w:r>
      <w:r>
        <w:rPr>
          <w:rFonts w:hint="eastAsia" w:ascii="Times New Roman" w:hAnsi="Times New Roman" w:eastAsia="仿宋" w:cs="仿宋"/>
          <w:b/>
          <w:sz w:val="32"/>
          <w:szCs w:val="32"/>
        </w:rPr>
        <w:t>工作</w:t>
      </w:r>
      <w:r>
        <w:rPr>
          <w:rFonts w:ascii="Times New Roman" w:hAnsi="Times New Roman" w:eastAsia="仿宋" w:cs="仿宋"/>
          <w:b/>
          <w:sz w:val="32"/>
          <w:szCs w:val="32"/>
        </w:rPr>
        <w:t>考核内容，年终将“述法”落实到述职述廉报告中，明确各</w:t>
      </w:r>
      <w:r>
        <w:rPr>
          <w:rFonts w:hint="eastAsia" w:ascii="Times New Roman" w:hAnsi="Times New Roman" w:eastAsia="仿宋" w:cs="仿宋"/>
          <w:b/>
          <w:sz w:val="32"/>
          <w:szCs w:val="32"/>
        </w:rPr>
        <w:t>科</w:t>
      </w:r>
      <w:r>
        <w:rPr>
          <w:rFonts w:ascii="Times New Roman" w:hAnsi="Times New Roman" w:eastAsia="仿宋" w:cs="仿宋"/>
          <w:b/>
          <w:sz w:val="32"/>
          <w:szCs w:val="32"/>
        </w:rPr>
        <w:t>室机构职责，形成组织健全、职责明确、合理高效的</w:t>
      </w:r>
      <w:r>
        <w:rPr>
          <w:rFonts w:hint="eastAsia" w:ascii="Times New Roman" w:hAnsi="Times New Roman" w:eastAsia="仿宋" w:cs="仿宋"/>
          <w:b/>
          <w:sz w:val="32"/>
          <w:szCs w:val="32"/>
        </w:rPr>
        <w:t>法治建设</w:t>
      </w:r>
      <w:r>
        <w:rPr>
          <w:rFonts w:ascii="Times New Roman" w:hAnsi="Times New Roman" w:eastAsia="仿宋" w:cs="仿宋"/>
          <w:b/>
          <w:sz w:val="32"/>
          <w:szCs w:val="32"/>
        </w:rPr>
        <w:t>工作机制。</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textAlignment w:val="auto"/>
        <w:outlineLvl w:val="0"/>
        <w:rPr>
          <w:rFonts w:ascii="Times New Roman" w:hAnsi="Times New Roman" w:eastAsia="楷体"/>
          <w:b/>
          <w:bCs/>
          <w:color w:val="000000"/>
          <w:sz w:val="32"/>
          <w:szCs w:val="32"/>
        </w:rPr>
      </w:pPr>
      <w:r>
        <w:rPr>
          <w:rFonts w:hint="eastAsia" w:ascii="Times New Roman" w:hAnsi="Times New Roman" w:eastAsia="楷体"/>
          <w:b/>
          <w:bCs/>
          <w:color w:val="000000"/>
          <w:sz w:val="32"/>
          <w:szCs w:val="32"/>
        </w:rPr>
        <w:t>强抓法治宣传，全方位营造法治氛围</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 w:cs="仿宋"/>
          <w:b/>
          <w:sz w:val="32"/>
          <w:szCs w:val="32"/>
        </w:rPr>
      </w:pPr>
      <w:r>
        <w:rPr>
          <w:rFonts w:hint="eastAsia" w:ascii="Times New Roman" w:hAnsi="Times New Roman" w:eastAsia="仿宋" w:cs="仿宋"/>
          <w:b/>
          <w:sz w:val="32"/>
          <w:szCs w:val="32"/>
        </w:rPr>
        <w:t>一是</w:t>
      </w:r>
      <w:r>
        <w:rPr>
          <w:rFonts w:ascii="Times New Roman" w:hAnsi="Times New Roman" w:eastAsia="仿宋" w:cs="仿宋"/>
          <w:b/>
          <w:sz w:val="32"/>
          <w:szCs w:val="32"/>
        </w:rPr>
        <w:t>抓好关键人群</w:t>
      </w:r>
      <w:r>
        <w:rPr>
          <w:rFonts w:hint="eastAsia" w:ascii="Times New Roman" w:hAnsi="Times New Roman" w:eastAsia="仿宋" w:cs="仿宋"/>
          <w:b/>
          <w:sz w:val="32"/>
          <w:szCs w:val="32"/>
        </w:rPr>
        <w:t>普法。将习近平法治思想列入2022年局党组理论学习中心组重点专题学习计划，先后传达学习了中央全面依法治国委员会2022年工作任务部署会、省委全面依法治省工作会议、市委全面依法治市工作会议精神。同时，加强对文化旅游系统工作人员的法治教育培训，</w:t>
      </w:r>
      <w:r>
        <w:rPr>
          <w:rFonts w:ascii="Times New Roman" w:hAnsi="Times New Roman" w:eastAsia="仿宋" w:cs="仿宋"/>
          <w:b/>
          <w:sz w:val="32"/>
          <w:szCs w:val="32"/>
        </w:rPr>
        <w:t>推进学习型机关建设</w:t>
      </w:r>
      <w:r>
        <w:rPr>
          <w:rFonts w:hint="eastAsia" w:ascii="Times New Roman" w:hAnsi="Times New Roman" w:eastAsia="仿宋" w:cs="仿宋"/>
          <w:b/>
          <w:sz w:val="32"/>
          <w:szCs w:val="32"/>
        </w:rPr>
        <w:t>，</w:t>
      </w:r>
      <w:r>
        <w:rPr>
          <w:rFonts w:ascii="Times New Roman" w:hAnsi="Times New Roman" w:eastAsia="仿宋" w:cs="仿宋"/>
          <w:b/>
          <w:sz w:val="32"/>
          <w:szCs w:val="32"/>
        </w:rPr>
        <w:t>为全体干部职工发放宪法</w:t>
      </w:r>
      <w:r>
        <w:rPr>
          <w:rFonts w:hint="eastAsia" w:ascii="Times New Roman" w:hAnsi="Times New Roman" w:eastAsia="仿宋" w:cs="仿宋"/>
          <w:b/>
          <w:sz w:val="32"/>
          <w:szCs w:val="32"/>
        </w:rPr>
        <w:t>、党内法规、民法典</w:t>
      </w:r>
      <w:r>
        <w:rPr>
          <w:rFonts w:ascii="Times New Roman" w:hAnsi="Times New Roman" w:eastAsia="仿宋" w:cs="仿宋"/>
          <w:b/>
          <w:sz w:val="32"/>
          <w:szCs w:val="32"/>
        </w:rPr>
        <w:t>读本，结合各类会议、学习、活动等</w:t>
      </w:r>
      <w:r>
        <w:rPr>
          <w:rFonts w:hint="eastAsia" w:ascii="Times New Roman" w:hAnsi="Times New Roman" w:eastAsia="仿宋" w:cs="仿宋"/>
          <w:b/>
          <w:sz w:val="32"/>
          <w:szCs w:val="32"/>
        </w:rPr>
        <w:t>，积极</w:t>
      </w:r>
      <w:r>
        <w:rPr>
          <w:rFonts w:ascii="Times New Roman" w:hAnsi="Times New Roman" w:eastAsia="仿宋" w:cs="仿宋"/>
          <w:b/>
          <w:sz w:val="32"/>
          <w:szCs w:val="32"/>
        </w:rPr>
        <w:t>开展法治学习。</w:t>
      </w:r>
      <w:r>
        <w:rPr>
          <w:rFonts w:hint="eastAsia" w:ascii="Times New Roman" w:hAnsi="Times New Roman" w:eastAsia="仿宋" w:cs="仿宋"/>
          <w:b/>
          <w:sz w:val="32"/>
          <w:szCs w:val="32"/>
        </w:rPr>
        <w:t>重点开展习近平新时代中国特色社会主义思想、习近平法治思想、党的二十大精神，以及《中华人民共和国宪法》《中华人民共和国民法典》</w:t>
      </w:r>
      <w:r>
        <w:rPr>
          <w:rFonts w:hint="eastAsia" w:ascii="Times New Roman" w:hAnsi="Times New Roman" w:eastAsia="仿宋" w:cs="仿宋"/>
          <w:b/>
          <w:sz w:val="32"/>
          <w:szCs w:val="32"/>
          <w:lang w:eastAsia="zh-CN"/>
        </w:rPr>
        <w:t>《中华人民共和国保守国家秘密法》</w:t>
      </w:r>
      <w:r>
        <w:rPr>
          <w:rFonts w:hint="eastAsia" w:ascii="Times New Roman" w:hAnsi="Times New Roman" w:eastAsia="仿宋" w:cs="仿宋"/>
          <w:b/>
          <w:sz w:val="32"/>
          <w:szCs w:val="32"/>
        </w:rPr>
        <w:t>《中华人民共和国行政许可法》《中华人民共和国行政处罚法》等相关法律学习。通过持续学法，领导班子法治意识、依法行政和依法履职能力不断增强。</w:t>
      </w:r>
      <w:r>
        <w:rPr>
          <w:rFonts w:ascii="Times New Roman" w:hAnsi="Times New Roman" w:eastAsia="仿宋" w:cs="仿宋"/>
          <w:b/>
          <w:sz w:val="32"/>
          <w:szCs w:val="32"/>
        </w:rPr>
        <w:t>严格落实学法用法考试考核制度，组织全体人员参加网上法律知识竞赛</w:t>
      </w:r>
      <w:r>
        <w:rPr>
          <w:rFonts w:hint="eastAsia" w:ascii="Times New Roman" w:hAnsi="Times New Roman" w:eastAsia="仿宋" w:cs="仿宋"/>
          <w:b/>
          <w:sz w:val="32"/>
          <w:szCs w:val="32"/>
        </w:rPr>
        <w:t>、法律</w:t>
      </w:r>
      <w:r>
        <w:rPr>
          <w:rFonts w:ascii="Times New Roman" w:hAnsi="Times New Roman" w:eastAsia="仿宋" w:cs="仿宋"/>
          <w:b/>
          <w:sz w:val="32"/>
          <w:szCs w:val="32"/>
        </w:rPr>
        <w:t>应知应会知识测试</w:t>
      </w:r>
      <w:r>
        <w:rPr>
          <w:rFonts w:hint="eastAsia" w:ascii="Times New Roman" w:hAnsi="Times New Roman" w:eastAsia="仿宋" w:cs="仿宋"/>
          <w:b/>
          <w:sz w:val="32"/>
          <w:szCs w:val="32"/>
        </w:rPr>
        <w:t>，积极组织参加上级部门举办的各类法制培训班。加强与上级、法律部门和相关业务部门的业务交流。</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 w:cs="仿宋"/>
          <w:b/>
          <w:sz w:val="32"/>
          <w:szCs w:val="32"/>
        </w:rPr>
      </w:pPr>
      <w:r>
        <w:rPr>
          <w:rFonts w:hint="eastAsia" w:ascii="Times New Roman" w:hAnsi="Times New Roman" w:eastAsia="仿宋" w:cs="仿宋"/>
          <w:b/>
          <w:sz w:val="32"/>
          <w:szCs w:val="32"/>
        </w:rPr>
        <w:t>二是在执法中普法。</w:t>
      </w:r>
      <w:r>
        <w:rPr>
          <w:rFonts w:ascii="Times New Roman" w:hAnsi="Times New Roman" w:eastAsia="仿宋" w:cs="仿宋"/>
          <w:b/>
          <w:sz w:val="32"/>
          <w:szCs w:val="32"/>
        </w:rPr>
        <w:t>严格落实“谁执法谁普法”</w:t>
      </w:r>
      <w:r>
        <w:rPr>
          <w:rFonts w:hint="eastAsia" w:ascii="Times New Roman" w:hAnsi="Times New Roman" w:eastAsia="仿宋" w:cs="仿宋"/>
          <w:b/>
          <w:sz w:val="32"/>
          <w:szCs w:val="32"/>
        </w:rPr>
        <w:t>的</w:t>
      </w:r>
      <w:r>
        <w:rPr>
          <w:rFonts w:ascii="Times New Roman" w:hAnsi="Times New Roman" w:eastAsia="仿宋" w:cs="仿宋"/>
          <w:b/>
          <w:sz w:val="32"/>
          <w:szCs w:val="32"/>
        </w:rPr>
        <w:t>普法责任制要求，将执法检查和普法宣传深度融合，把宪法精神贯穿到执法工作全过程，积极引导执法对象牢固树立“依法决策、依法管理、依法经营、依法办事”</w:t>
      </w:r>
      <w:r>
        <w:rPr>
          <w:rFonts w:hint="eastAsia" w:ascii="Times New Roman" w:hAnsi="Times New Roman" w:eastAsia="仿宋" w:cs="仿宋"/>
          <w:b/>
          <w:sz w:val="32"/>
          <w:szCs w:val="32"/>
        </w:rPr>
        <w:t>的</w:t>
      </w:r>
      <w:r>
        <w:rPr>
          <w:rFonts w:ascii="Times New Roman" w:hAnsi="Times New Roman" w:eastAsia="仿宋" w:cs="仿宋"/>
          <w:b/>
          <w:sz w:val="32"/>
          <w:szCs w:val="32"/>
        </w:rPr>
        <w:t>意识，推动形成协同配合、齐心协力抓普法</w:t>
      </w:r>
      <w:r>
        <w:rPr>
          <w:rFonts w:hint="eastAsia" w:ascii="Times New Roman" w:hAnsi="Times New Roman" w:eastAsia="仿宋" w:cs="仿宋"/>
          <w:b/>
          <w:sz w:val="32"/>
          <w:szCs w:val="32"/>
        </w:rPr>
        <w:t>的</w:t>
      </w:r>
      <w:r>
        <w:rPr>
          <w:rFonts w:ascii="Times New Roman" w:hAnsi="Times New Roman" w:eastAsia="仿宋" w:cs="仿宋"/>
          <w:b/>
          <w:sz w:val="32"/>
          <w:szCs w:val="32"/>
        </w:rPr>
        <w:t>新局面。做好文旅场所疫情防控政策和安全生产法治宣传，及时传达省市关于疫情防控工作会议精神和一系列决策部署，落实政策宣传、引导、管控工作。利用行业管理群，开展新《安全生产法》学习，推动行业人员树牢安全意识。</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 w:cs="仿宋"/>
          <w:b/>
          <w:sz w:val="32"/>
          <w:szCs w:val="32"/>
        </w:rPr>
      </w:pPr>
      <w:r>
        <w:rPr>
          <w:rFonts w:hint="eastAsia" w:ascii="Times New Roman" w:hAnsi="Times New Roman" w:eastAsia="仿宋" w:cs="仿宋"/>
          <w:b/>
          <w:sz w:val="32"/>
          <w:szCs w:val="32"/>
        </w:rPr>
        <w:t>三是积极开展行业普法。按要求制定并实施年度普法工作计划和普法责任清单，将普法工作纳入全局总体规划。充分利用“4.15全民国家安全教育主题宣传周” “4.23世界读书日” “5·19中国旅游日”“文化和自然遗产日”“6·16安全生产宣传咨询日”“宪法宣传周”等时间节点开展“法律进景区、进社区、进广场”等集中普法活动。充分发挥市图书馆、市文化馆、星级宾馆、旅行社等文旅阵地作用，通过张贴主题宣传海报、宣传彩页、电子屏幕等形式，开展宪法法律知识宣传服务。</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outlineLvl w:val="0"/>
        <w:rPr>
          <w:rFonts w:ascii="Times New Roman" w:hAnsi="Times New Roman" w:eastAsia="楷体"/>
          <w:b/>
          <w:bCs/>
          <w:color w:val="000000"/>
          <w:sz w:val="32"/>
          <w:szCs w:val="32"/>
        </w:rPr>
      </w:pPr>
      <w:r>
        <w:rPr>
          <w:rFonts w:hint="eastAsia" w:ascii="Times New Roman" w:hAnsi="Times New Roman" w:eastAsia="楷体"/>
          <w:b/>
          <w:bCs/>
          <w:color w:val="000000"/>
          <w:sz w:val="32"/>
          <w:szCs w:val="32"/>
        </w:rPr>
        <w:t>（三）健全决策体系，提升行政决策公信力</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 w:cs="仿宋"/>
          <w:b/>
          <w:sz w:val="32"/>
          <w:szCs w:val="32"/>
        </w:rPr>
      </w:pPr>
      <w:r>
        <w:rPr>
          <w:rFonts w:hint="eastAsia" w:ascii="Times New Roman" w:hAnsi="Times New Roman" w:eastAsia="仿宋" w:cs="仿宋"/>
          <w:b/>
          <w:sz w:val="32"/>
          <w:szCs w:val="32"/>
        </w:rPr>
        <w:t>一是严格执行民主集中制和“三重一大”集体决策制度。严格遵循重大事项行政决策风险评估制度和重大事项集体讨论决策制度，严格执行法治工作领导责任制，重大事项决策前落实充分调查研究、公众参与、专家论证、风险评估、合法性审查和集体讨论决定等程序，将决策、执行、管理、服务、结果等事项在政府网站公开。二是健全政府法律顾问制度，发挥法律顾问职责作用,力求决策科学正确,不断提升法治社会治理能力。法律顾问围绕重大行政决策开展咨询论证、提供法律服务，同时为全市文旅系统规范性文件、复议诉讼、执法办案等相关法律问题提供咨询意见，有效促进了依法办事，防范了法律风险。法律专业人士对应诉、行政工作人员定期进行法律知识培训，监督单位依法行政行为。</w:t>
      </w:r>
    </w:p>
    <w:p>
      <w:pPr>
        <w:keepNext w:val="0"/>
        <w:keepLines w:val="0"/>
        <w:pageBreakBefore w:val="0"/>
        <w:widowControl w:val="0"/>
        <w:kinsoku/>
        <w:overflowPunct/>
        <w:topLinePunct w:val="0"/>
        <w:autoSpaceDE/>
        <w:autoSpaceDN/>
        <w:bidi w:val="0"/>
        <w:adjustRightInd/>
        <w:snapToGrid/>
        <w:spacing w:line="560" w:lineRule="exact"/>
        <w:ind w:left="630"/>
        <w:textAlignment w:val="auto"/>
        <w:rPr>
          <w:rFonts w:ascii="Times New Roman" w:hAnsi="Times New Roman" w:eastAsia="楷体"/>
          <w:b/>
          <w:bCs/>
          <w:color w:val="000000"/>
          <w:sz w:val="32"/>
          <w:szCs w:val="32"/>
        </w:rPr>
      </w:pPr>
      <w:r>
        <w:rPr>
          <w:rFonts w:hint="eastAsia" w:ascii="Times New Roman" w:hAnsi="Times New Roman" w:eastAsia="楷体"/>
          <w:b/>
          <w:bCs/>
          <w:color w:val="000000"/>
          <w:sz w:val="32"/>
          <w:szCs w:val="32"/>
        </w:rPr>
        <w:t>（四）健全执法体系，营造法治营商环境</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 w:cs="仿宋"/>
          <w:b/>
          <w:sz w:val="32"/>
          <w:szCs w:val="32"/>
        </w:rPr>
      </w:pPr>
      <w:r>
        <w:rPr>
          <w:rFonts w:hint="eastAsia" w:ascii="Times New Roman" w:hAnsi="Times New Roman" w:eastAsia="仿宋" w:cs="仿宋"/>
          <w:b/>
          <w:sz w:val="32"/>
          <w:szCs w:val="32"/>
        </w:rPr>
        <w:t>一是完善落实执法相关制度，推行行政执法“三项制度”。完善行政执法公示制度、执法全过程记录制度、重大执法决定法制审核制度任务清单，并在政府门户网站公示接受监督，在执法实践中严格落实。坚持执法全过程记录，通过文字记录、音像记录等方式，对行政执法过程中执法程序启动、调查取证、审查决定、送达执行、归档管理等法定程序和环节进行跟踪记录、实时留痕。扎实履行“双随机”抽查机制，制定本部门“双随机”年度抽查计划，重点抽查文化市场、旅游市场等监督检查事项，抽查情况按要求及时上报，强化事中事后监管，不断提升监管、服务水平。通过一系列强有力的措施规范网吧、KTV市场、旅游市场的管理。开展查处擅自安装使用卫星地面接收设施的“春雷行动”和春季校园周边文化市场专项整治等活动，规范了我市文化旅游市场秩序。二是加强队伍建设。修订印发了《曲阜市文化市场综合执法大队制度汇编》，完善队伍管理机制，健全了大队党政班子，及时调整了各中层科队人员，形成了职责明确、廉洁高效、落实有力的工作体系。三是严格规范公正文明执法。机构改革后，我局执法范围涵盖文化、广电、旅游等行业，面对新情况新问题，我局统筹考虑，科学分工。2022年全年，市文化执法大队采取日常巡查、错时检查、双随机检查、明查暗访、联合执法、专项整治以及网上巡查等手段，共出动执法人员16704人次，检查文化经营场所5020家次，办理案件50起，没收违法所得1653.9元，罚款15.8万元。</w:t>
      </w:r>
    </w:p>
    <w:p>
      <w:pPr>
        <w:pStyle w:val="5"/>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黑体"/>
          <w:b/>
          <w:sz w:val="32"/>
          <w:szCs w:val="32"/>
        </w:rPr>
      </w:pPr>
      <w:r>
        <w:rPr>
          <w:rFonts w:hint="eastAsia" w:ascii="Times New Roman" w:hAnsi="Times New Roman" w:eastAsia="黑体"/>
          <w:b/>
          <w:sz w:val="32"/>
          <w:szCs w:val="32"/>
        </w:rPr>
        <w:t>二、存在问题和原因</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 w:cs="仿宋"/>
          <w:b/>
          <w:sz w:val="32"/>
          <w:szCs w:val="32"/>
        </w:rPr>
      </w:pPr>
      <w:r>
        <w:rPr>
          <w:rFonts w:hint="eastAsia" w:ascii="Times New Roman" w:hAnsi="Times New Roman" w:eastAsia="仿宋" w:cs="仿宋"/>
          <w:b/>
          <w:sz w:val="32"/>
          <w:szCs w:val="32"/>
        </w:rPr>
        <w:t>我局的法治政府建设工作虽然取得了一定成效，但仍然存在一些短板和不足；</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 w:cs="仿宋"/>
          <w:b/>
          <w:sz w:val="32"/>
          <w:szCs w:val="32"/>
        </w:rPr>
      </w:pPr>
      <w:r>
        <w:rPr>
          <w:rFonts w:hint="eastAsia" w:ascii="Times New Roman" w:hAnsi="Times New Roman" w:eastAsia="楷体" w:cs="仿宋"/>
          <w:b/>
          <w:sz w:val="32"/>
          <w:szCs w:val="32"/>
        </w:rPr>
        <w:t>（一）法治宣传形式创新不够。</w:t>
      </w:r>
      <w:r>
        <w:rPr>
          <w:rFonts w:hint="eastAsia" w:ascii="Times New Roman" w:hAnsi="Times New Roman" w:eastAsia="仿宋" w:cs="仿宋"/>
          <w:b/>
          <w:sz w:val="32"/>
          <w:szCs w:val="32"/>
        </w:rPr>
        <w:t>在宣传方式、宣传工具、宣传途径上还停留在较为传统的会议宣传、展板展览以及文艺现场演出上，开展新媒体环境下的各类法治宣传教育不足。</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 w:cs="仿宋"/>
          <w:b/>
          <w:sz w:val="32"/>
          <w:szCs w:val="32"/>
        </w:rPr>
      </w:pPr>
      <w:r>
        <w:rPr>
          <w:rFonts w:hint="eastAsia" w:ascii="Times New Roman" w:hAnsi="Times New Roman" w:eastAsia="楷体" w:cs="仿宋"/>
          <w:b/>
          <w:sz w:val="32"/>
          <w:szCs w:val="32"/>
        </w:rPr>
        <w:t>（二）执法监管合力有待提升。</w:t>
      </w:r>
      <w:r>
        <w:rPr>
          <w:rFonts w:hint="eastAsia" w:ascii="Times New Roman" w:hAnsi="Times New Roman" w:eastAsia="仿宋" w:cs="仿宋"/>
          <w:b/>
          <w:sz w:val="32"/>
          <w:szCs w:val="32"/>
        </w:rPr>
        <w:t>机构改革后，各部门职能均有所调整，行业主管部门与执法部门之间的协调机制仍需进一步完善，以便提高衔接配合力度，提升执法质量，形成监管合力。</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 w:cs="仿宋"/>
          <w:b/>
          <w:sz w:val="32"/>
          <w:szCs w:val="32"/>
        </w:rPr>
      </w:pPr>
      <w:r>
        <w:rPr>
          <w:rFonts w:hint="eastAsia" w:ascii="Times New Roman" w:hAnsi="Times New Roman" w:eastAsia="楷体" w:cs="仿宋"/>
          <w:b/>
          <w:sz w:val="32"/>
          <w:szCs w:val="32"/>
        </w:rPr>
        <w:t>（三）机构建设人员配备薄弱。</w:t>
      </w:r>
      <w:r>
        <w:rPr>
          <w:rFonts w:hint="eastAsia" w:ascii="Times New Roman" w:hAnsi="Times New Roman" w:eastAsia="仿宋" w:cs="仿宋"/>
          <w:b/>
          <w:sz w:val="32"/>
          <w:szCs w:val="32"/>
        </w:rPr>
        <w:t>机关无法律专业从事法治工作的人员，难以全面履行法治工作的各项职责；法治学习上缺乏系统性，不够深入透彻，干部职工的法治观念和法治意识还需进一步增强。</w:t>
      </w:r>
    </w:p>
    <w:p>
      <w:pPr>
        <w:pStyle w:val="5"/>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黑体"/>
          <w:b/>
          <w:sz w:val="32"/>
          <w:szCs w:val="32"/>
        </w:rPr>
      </w:pPr>
      <w:r>
        <w:rPr>
          <w:rFonts w:hint="eastAsia" w:ascii="Times New Roman" w:hAnsi="Times New Roman" w:eastAsia="黑体"/>
          <w:b/>
          <w:sz w:val="32"/>
          <w:szCs w:val="32"/>
        </w:rPr>
        <w:t>三、2023年工作要点</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仿宋" w:cs="仿宋"/>
          <w:b/>
          <w:sz w:val="32"/>
          <w:szCs w:val="32"/>
        </w:rPr>
      </w:pPr>
      <w:r>
        <w:rPr>
          <w:rFonts w:hint="eastAsia" w:ascii="Times New Roman" w:hAnsi="Times New Roman" w:eastAsia="仿宋" w:cs="仿宋"/>
          <w:b/>
          <w:sz w:val="32"/>
          <w:szCs w:val="32"/>
        </w:rPr>
        <w:t>我局将坚持以习近平新时代中国特色社会主义思想为指导，深入贯彻落实党的二十大作出的重大决策部署，紧紧围绕全市中心工作，着力提升依法行政水平。</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方正仿宋_GB2312" w:cs="方正仿宋_GB2312"/>
          <w:b/>
          <w:sz w:val="32"/>
          <w:szCs w:val="32"/>
        </w:rPr>
      </w:pPr>
      <w:r>
        <w:rPr>
          <w:rFonts w:hint="eastAsia" w:ascii="Times New Roman" w:hAnsi="Times New Roman" w:eastAsia="楷体" w:cs="方正仿宋_GB2312"/>
          <w:b/>
          <w:sz w:val="32"/>
          <w:szCs w:val="32"/>
        </w:rPr>
        <w:t>（一）加强法治队伍建设。</w:t>
      </w:r>
      <w:r>
        <w:rPr>
          <w:rFonts w:hint="eastAsia" w:ascii="Times New Roman" w:hAnsi="Times New Roman" w:eastAsia="方正仿宋_GB2312" w:cs="方正仿宋_GB2312"/>
          <w:b/>
          <w:sz w:val="32"/>
          <w:szCs w:val="32"/>
        </w:rPr>
        <w:t>严格落实党政主要负责人履行推进法治建设第一责任人职责，将法治工作同本单位中心工作、业务工作相结合，同安排、同部署、同推进。坚持领导干部及工作人员学法制度，加强对一线执法人员的法律知识培训。把学习贯彻习近平新时代中国特色社会主义思想、党的二十大精神，特别是习近平法治思想作为当前和今后一个时期的首要政治任务，纳入全系统党组织日常教育培训及“三会一课”的重要内容。通过举办专题学习班、加强执法业务交流、开展多层次交叉执法，进一步提高执法人员业务水平和依法行政能力。树立良好的法治政府形象，加快法治政府建设，推进全社会的依法行政。</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b/>
        </w:rPr>
      </w:pPr>
      <w:r>
        <w:rPr>
          <w:rFonts w:hint="eastAsia" w:ascii="Times New Roman" w:hAnsi="Times New Roman" w:eastAsia="楷体" w:cs="方正仿宋_GB2312"/>
          <w:b/>
          <w:sz w:val="32"/>
          <w:szCs w:val="32"/>
        </w:rPr>
        <w:t>（二）拓宽法治宣传渠道。</w:t>
      </w:r>
      <w:r>
        <w:rPr>
          <w:rFonts w:hint="eastAsia" w:ascii="Times New Roman" w:hAnsi="Times New Roman" w:eastAsia="方正仿宋_GB2312" w:cs="方正仿宋_GB2312"/>
          <w:b/>
          <w:sz w:val="32"/>
          <w:szCs w:val="32"/>
        </w:rPr>
        <w:t>加强法律法规及相关政策的宣传和教育力度，不断创新普法宣传形式，积极参加各类法律宣传月、宣传周活动，认真做好“八五”普法工作和“法律六进”活动，立足部门职能，充分利用送戏下乡、公益电影放映等活动开展普法活动。强化“互联网+法治宣传”思维，创新普法载体，利用政务信息平台、短视频平台、微信公众号等进行文化和旅游法律法规的宣传，主动推送法治宣传信息，拓宽群众查询学习渠道。</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Times New Roman" w:hAnsi="Times New Roman" w:eastAsia="方正仿宋_GB2312" w:cs="方正仿宋_GB2312"/>
          <w:b/>
          <w:sz w:val="32"/>
          <w:szCs w:val="32"/>
        </w:rPr>
      </w:pPr>
      <w:r>
        <w:rPr>
          <w:rFonts w:hint="eastAsia" w:ascii="Times New Roman" w:hAnsi="Times New Roman" w:eastAsia="楷体" w:cs="方正仿宋_GB2312"/>
          <w:b/>
          <w:sz w:val="32"/>
          <w:szCs w:val="32"/>
        </w:rPr>
        <w:t>（三）落实法治政府建设要求。</w:t>
      </w:r>
      <w:r>
        <w:rPr>
          <w:rFonts w:hint="eastAsia" w:ascii="Times New Roman" w:hAnsi="Times New Roman" w:eastAsia="方正仿宋_GB2312" w:cs="方正仿宋_GB2312"/>
          <w:b/>
          <w:sz w:val="32"/>
          <w:szCs w:val="32"/>
        </w:rPr>
        <w:t>深化信息公开，依法妥善处理信息公开申请，完善信息发布审查机制，实行政务公开清单管理制度，及时更新信息公开指南和政务信息公开目录，定期发布信息公开法治工作年度报告，自觉接受群众监督。</w:t>
      </w:r>
      <w:r>
        <w:rPr>
          <w:rFonts w:hint="eastAsia" w:ascii="Times New Roman" w:hAnsi="Times New Roman" w:eastAsia="仿宋"/>
          <w:b/>
          <w:sz w:val="32"/>
          <w:szCs w:val="32"/>
        </w:rPr>
        <w:t>通过政府网站和“曲阜文旅”微信公众号及时更新发布各类政策信息，加强与企业、群众互动，回应民意诉求。</w:t>
      </w:r>
      <w:r>
        <w:rPr>
          <w:rFonts w:hint="eastAsia" w:ascii="Times New Roman" w:hAnsi="Times New Roman" w:eastAsia="方正仿宋_GB2312" w:cs="方正仿宋_GB2312"/>
          <w:b/>
          <w:sz w:val="32"/>
          <w:szCs w:val="32"/>
        </w:rPr>
        <w:t>抓好政务舆情处置，积极回应社会关切。</w:t>
      </w:r>
    </w:p>
    <w:p>
      <w:pPr>
        <w:pStyle w:val="5"/>
        <w:keepNext w:val="0"/>
        <w:keepLines w:val="0"/>
        <w:pageBreakBefore w:val="0"/>
        <w:widowControl w:val="0"/>
        <w:kinsoku/>
        <w:overflowPunct/>
        <w:topLinePunct w:val="0"/>
        <w:autoSpaceDE/>
        <w:autoSpaceDN/>
        <w:bidi w:val="0"/>
        <w:adjustRightInd/>
        <w:snapToGrid/>
        <w:spacing w:line="560" w:lineRule="exact"/>
        <w:ind w:firstLine="482" w:firstLineChars="150"/>
        <w:textAlignment w:val="auto"/>
        <w:rPr>
          <w:rFonts w:ascii="Times New Roman" w:hAnsi="Times New Roman" w:eastAsia="方正仿宋_GB2312" w:cs="方正仿宋_GB2312"/>
          <w:b/>
          <w:sz w:val="32"/>
          <w:szCs w:val="32"/>
        </w:rPr>
      </w:pPr>
      <w:r>
        <w:rPr>
          <w:rFonts w:hint="eastAsia" w:ascii="Times New Roman" w:hAnsi="Times New Roman" w:eastAsia="楷体" w:cs="方正仿宋_GB2312"/>
          <w:b/>
          <w:sz w:val="32"/>
          <w:szCs w:val="32"/>
        </w:rPr>
        <w:t>（四）持续规范执法行为。</w:t>
      </w:r>
      <w:r>
        <w:rPr>
          <w:rFonts w:hint="eastAsia" w:ascii="Times New Roman" w:hAnsi="Times New Roman" w:eastAsia="方正仿宋_GB2312" w:cs="方正仿宋_GB2312"/>
          <w:b/>
          <w:sz w:val="32"/>
          <w:szCs w:val="32"/>
        </w:rPr>
        <w:t>切实加强队伍作风建设，进一步提升廉政观念、规范化意识。加强</w:t>
      </w:r>
      <w:r>
        <w:rPr>
          <w:rFonts w:ascii="Times New Roman" w:hAnsi="Times New Roman" w:eastAsia="方正仿宋_GB2312" w:cs="方正仿宋_GB2312"/>
          <w:b/>
          <w:sz w:val="32"/>
          <w:szCs w:val="32"/>
        </w:rPr>
        <w:t>重点领域执法工作</w:t>
      </w:r>
      <w:r>
        <w:rPr>
          <w:rFonts w:hint="eastAsia" w:ascii="Times New Roman" w:hAnsi="Times New Roman" w:eastAsia="方正仿宋_GB2312" w:cs="方正仿宋_GB2312"/>
          <w:b/>
          <w:sz w:val="32"/>
          <w:szCs w:val="32"/>
        </w:rPr>
        <w:t>和</w:t>
      </w:r>
      <w:r>
        <w:rPr>
          <w:rFonts w:ascii="Times New Roman" w:hAnsi="Times New Roman" w:eastAsia="方正仿宋_GB2312" w:cs="方正仿宋_GB2312"/>
          <w:b/>
          <w:sz w:val="32"/>
          <w:szCs w:val="32"/>
        </w:rPr>
        <w:t>各类专项整治工作，净化社会文化环境，完善“双随机、一公开”制度，规范行政执法的各个执法程序，保障人民群众生命财产安全。强化执法工作监督，建立完善行政执法争议协调和违法执法行为联合处理机制，增强行政执法监督效能，为依法行政创造良好的法治环境。</w:t>
      </w:r>
    </w:p>
    <w:p>
      <w:pPr>
        <w:keepNext w:val="0"/>
        <w:keepLines w:val="0"/>
        <w:pageBreakBefore w:val="0"/>
        <w:widowControl w:val="0"/>
        <w:kinsoku/>
        <w:overflowPunct/>
        <w:topLinePunct w:val="0"/>
        <w:autoSpaceDE/>
        <w:autoSpaceDN/>
        <w:bidi w:val="0"/>
        <w:adjustRightInd/>
        <w:snapToGrid/>
        <w:spacing w:line="560" w:lineRule="exact"/>
        <w:textAlignment w:val="auto"/>
        <w:rPr>
          <w:rFonts w:ascii="Times New Roman" w:hAnsi="Times New Roman"/>
        </w:rPr>
      </w:pPr>
    </w:p>
    <w:p>
      <w:pPr>
        <w:pStyle w:val="5"/>
        <w:keepNext w:val="0"/>
        <w:keepLines w:val="0"/>
        <w:pageBreakBefore w:val="0"/>
        <w:widowControl w:val="0"/>
        <w:kinsoku/>
        <w:overflowPunct/>
        <w:topLinePunct w:val="0"/>
        <w:autoSpaceDE/>
        <w:autoSpaceDN/>
        <w:bidi w:val="0"/>
        <w:adjustRightInd/>
        <w:snapToGrid/>
        <w:spacing w:line="560" w:lineRule="exact"/>
        <w:textAlignment w:val="auto"/>
        <w:rPr>
          <w:rFonts w:ascii="Times New Roman" w:hAnsi="Times New Roman"/>
        </w:rPr>
      </w:pPr>
    </w:p>
    <w:p>
      <w:pPr>
        <w:pStyle w:val="5"/>
        <w:keepNext w:val="0"/>
        <w:keepLines w:val="0"/>
        <w:pageBreakBefore w:val="0"/>
        <w:widowControl w:val="0"/>
        <w:kinsoku/>
        <w:overflowPunct/>
        <w:topLinePunct w:val="0"/>
        <w:autoSpaceDE/>
        <w:autoSpaceDN/>
        <w:bidi w:val="0"/>
        <w:adjustRightInd/>
        <w:snapToGrid/>
        <w:spacing w:line="560" w:lineRule="exact"/>
        <w:ind w:firstLine="482" w:firstLineChars="150"/>
        <w:jc w:val="right"/>
        <w:textAlignment w:val="auto"/>
        <w:rPr>
          <w:rFonts w:ascii="Times New Roman" w:hAnsi="Times New Roman" w:eastAsia="方正仿宋_GB2312" w:cs="方正仿宋_GB2312"/>
          <w:b/>
          <w:sz w:val="32"/>
          <w:szCs w:val="32"/>
        </w:rPr>
      </w:pPr>
    </w:p>
    <w:p>
      <w:pPr>
        <w:pStyle w:val="5"/>
        <w:keepNext w:val="0"/>
        <w:keepLines w:val="0"/>
        <w:pageBreakBefore w:val="0"/>
        <w:widowControl w:val="0"/>
        <w:kinsoku/>
        <w:wordWrap w:val="0"/>
        <w:overflowPunct/>
        <w:topLinePunct w:val="0"/>
        <w:autoSpaceDE/>
        <w:autoSpaceDN/>
        <w:bidi w:val="0"/>
        <w:adjustRightInd/>
        <w:snapToGrid/>
        <w:spacing w:line="560" w:lineRule="exact"/>
        <w:ind w:firstLine="482" w:firstLineChars="150"/>
        <w:jc w:val="right"/>
        <w:textAlignment w:val="auto"/>
        <w:rPr>
          <w:rFonts w:ascii="Times New Roman" w:hAnsi="Times New Roman" w:eastAsia="方正仿宋_GB2312" w:cs="方正仿宋_GB2312"/>
          <w:b/>
          <w:sz w:val="32"/>
          <w:szCs w:val="32"/>
        </w:rPr>
      </w:pPr>
      <w:r>
        <w:rPr>
          <w:rFonts w:hint="eastAsia" w:ascii="Times New Roman" w:hAnsi="Times New Roman" w:eastAsia="方正仿宋_GB2312" w:cs="方正仿宋_GB2312"/>
          <w:b/>
          <w:sz w:val="32"/>
          <w:szCs w:val="32"/>
        </w:rPr>
        <w:t xml:space="preserve">曲阜市文化和旅游局   </w:t>
      </w:r>
    </w:p>
    <w:p>
      <w:pPr>
        <w:pStyle w:val="5"/>
        <w:keepNext w:val="0"/>
        <w:keepLines w:val="0"/>
        <w:pageBreakBefore w:val="0"/>
        <w:widowControl w:val="0"/>
        <w:kinsoku/>
        <w:wordWrap w:val="0"/>
        <w:overflowPunct/>
        <w:topLinePunct w:val="0"/>
        <w:autoSpaceDE/>
        <w:autoSpaceDN/>
        <w:bidi w:val="0"/>
        <w:adjustRightInd/>
        <w:snapToGrid/>
        <w:spacing w:line="560" w:lineRule="exact"/>
        <w:ind w:firstLine="482" w:firstLineChars="150"/>
        <w:jc w:val="right"/>
        <w:textAlignment w:val="auto"/>
        <w:rPr>
          <w:rFonts w:hint="eastAsia" w:ascii="Times New Roman" w:hAnsi="Times New Roman" w:eastAsia="方正仿宋_GB2312" w:cs="方正仿宋_GB2312"/>
          <w:b/>
          <w:sz w:val="32"/>
          <w:szCs w:val="32"/>
        </w:rPr>
      </w:pPr>
      <w:r>
        <w:rPr>
          <w:rFonts w:hint="eastAsia" w:ascii="Times New Roman" w:hAnsi="Times New Roman" w:eastAsia="方正仿宋_GB2312" w:cs="方正仿宋_GB2312"/>
          <w:b/>
          <w:sz w:val="32"/>
          <w:szCs w:val="32"/>
        </w:rPr>
        <w:t xml:space="preserve">2023年3月1日    </w:t>
      </w:r>
    </w:p>
    <w:p>
      <w:pPr>
        <w:wordWrap/>
        <w:rPr>
          <w:rFonts w:hint="eastAsia" w:ascii="Times New Roman" w:hAnsi="Times New Roman" w:eastAsia="方正仿宋_GB2312" w:cs="方正仿宋_GB2312"/>
          <w:b/>
          <w:sz w:val="32"/>
          <w:szCs w:val="32"/>
        </w:rPr>
      </w:pPr>
    </w:p>
    <w:p>
      <w:pPr>
        <w:pStyle w:val="2"/>
        <w:rPr>
          <w:rFonts w:hint="eastAsia" w:ascii="Times New Roman" w:hAnsi="Times New Roman" w:eastAsia="方正仿宋_GB2312" w:cs="方正仿宋_GB2312"/>
          <w:b/>
          <w:sz w:val="32"/>
          <w:szCs w:val="32"/>
        </w:rPr>
      </w:pPr>
    </w:p>
    <w:p>
      <w:pPr>
        <w:rPr>
          <w:rFonts w:hint="eastAsia" w:ascii="Times New Roman" w:hAnsi="Times New Roman" w:eastAsia="方正仿宋_GB2312" w:cs="方正仿宋_GB2312"/>
          <w:b/>
          <w:sz w:val="32"/>
          <w:szCs w:val="32"/>
        </w:rPr>
      </w:pPr>
    </w:p>
    <w:p>
      <w:pPr>
        <w:pStyle w:val="2"/>
        <w:rPr>
          <w:rFonts w:hint="eastAsia" w:ascii="Times New Roman" w:hAnsi="Times New Roman" w:eastAsia="方正仿宋_GB2312" w:cs="方正仿宋_GB2312"/>
          <w:b/>
          <w:sz w:val="32"/>
          <w:szCs w:val="32"/>
        </w:rPr>
      </w:pPr>
    </w:p>
    <w:p>
      <w:pPr>
        <w:rPr>
          <w:rFonts w:hint="eastAsia" w:ascii="Times New Roman" w:hAnsi="Times New Roman" w:eastAsia="方正仿宋_GB2312" w:cs="方正仿宋_GB2312"/>
          <w:b/>
          <w:sz w:val="32"/>
          <w:szCs w:val="32"/>
        </w:rPr>
      </w:pPr>
    </w:p>
    <w:p>
      <w:pPr>
        <w:pStyle w:val="2"/>
        <w:rPr>
          <w:rFonts w:hint="eastAsia" w:ascii="Times New Roman" w:hAnsi="Times New Roman" w:eastAsia="方正仿宋_GB2312" w:cs="方正仿宋_GB2312"/>
          <w:b/>
          <w:sz w:val="32"/>
          <w:szCs w:val="32"/>
        </w:rPr>
      </w:pPr>
    </w:p>
    <w:p>
      <w:pPr>
        <w:rPr>
          <w:rFonts w:hint="eastAsia" w:ascii="Times New Roman" w:hAnsi="Times New Roman" w:eastAsia="方正仿宋_GB2312" w:cs="方正仿宋_GB2312"/>
          <w:b/>
          <w:sz w:val="32"/>
          <w:szCs w:val="32"/>
        </w:rPr>
      </w:pPr>
    </w:p>
    <w:p>
      <w:pPr>
        <w:pStyle w:val="2"/>
        <w:rPr>
          <w:rFonts w:hint="eastAsia" w:ascii="Times New Roman" w:hAnsi="Times New Roman" w:eastAsia="方正仿宋_GB2312" w:cs="方正仿宋_GB2312"/>
          <w:b/>
          <w:sz w:val="32"/>
          <w:szCs w:val="32"/>
        </w:rPr>
      </w:pPr>
    </w:p>
    <w:p>
      <w:pPr>
        <w:rPr>
          <w:rFonts w:hint="eastAsia" w:ascii="Times New Roman" w:hAnsi="Times New Roman" w:eastAsia="方正仿宋_GB2312" w:cs="方正仿宋_GB2312"/>
          <w:b/>
          <w:sz w:val="32"/>
          <w:szCs w:val="32"/>
        </w:rPr>
      </w:pPr>
    </w:p>
    <w:p>
      <w:pPr>
        <w:pStyle w:val="2"/>
        <w:rPr>
          <w:rFonts w:hint="eastAsia" w:ascii="Times New Roman" w:hAnsi="Times New Roman" w:eastAsia="方正仿宋_GB2312" w:cs="方正仿宋_GB2312"/>
          <w:b/>
          <w:sz w:val="32"/>
          <w:szCs w:val="32"/>
        </w:rPr>
      </w:pPr>
    </w:p>
    <w:p>
      <w:pPr>
        <w:rPr>
          <w:rFonts w:hint="eastAsia" w:ascii="Times New Roman" w:hAnsi="Times New Roman" w:eastAsia="方正仿宋_GB2312" w:cs="方正仿宋_GB2312"/>
          <w:b/>
          <w:sz w:val="32"/>
          <w:szCs w:val="32"/>
        </w:rPr>
      </w:pPr>
    </w:p>
    <w:p>
      <w:pPr>
        <w:pStyle w:val="2"/>
        <w:rPr>
          <w:rFonts w:hint="eastAsia" w:ascii="Times New Roman" w:hAnsi="Times New Roman" w:eastAsia="方正仿宋_GB2312" w:cs="方正仿宋_GB2312"/>
          <w:b/>
          <w:sz w:val="32"/>
          <w:szCs w:val="32"/>
        </w:rPr>
      </w:pPr>
    </w:p>
    <w:p>
      <w:pPr>
        <w:rPr>
          <w:rFonts w:hint="eastAsia" w:ascii="Times New Roman" w:hAnsi="Times New Roman" w:eastAsia="方正仿宋_GB2312" w:cs="方正仿宋_GB2312"/>
          <w:b/>
          <w:sz w:val="32"/>
          <w:szCs w:val="32"/>
        </w:rPr>
      </w:pPr>
    </w:p>
    <w:p>
      <w:pPr>
        <w:pStyle w:val="2"/>
        <w:rPr>
          <w:rFonts w:hint="eastAsia" w:ascii="Times New Roman" w:hAnsi="Times New Roman" w:eastAsia="方正仿宋_GB2312" w:cs="方正仿宋_GB2312"/>
          <w:b/>
          <w:sz w:val="32"/>
          <w:szCs w:val="32"/>
        </w:rPr>
      </w:pPr>
    </w:p>
    <w:p>
      <w:pPr>
        <w:rPr>
          <w:rFonts w:hint="eastAsia" w:ascii="Times New Roman" w:hAnsi="Times New Roman" w:eastAsia="方正仿宋_GB2312" w:cs="方正仿宋_GB2312"/>
          <w:b/>
          <w:sz w:val="32"/>
          <w:szCs w:val="32"/>
        </w:rPr>
      </w:pPr>
    </w:p>
    <w:p>
      <w:pPr>
        <w:pStyle w:val="2"/>
        <w:rPr>
          <w:rFonts w:hint="eastAsia" w:ascii="Times New Roman" w:hAnsi="Times New Roman" w:eastAsia="方正仿宋_GB2312" w:cs="方正仿宋_GB2312"/>
          <w:b/>
          <w:sz w:val="32"/>
          <w:szCs w:val="32"/>
        </w:rPr>
      </w:pPr>
    </w:p>
    <w:p>
      <w:pPr>
        <w:rPr>
          <w:rFonts w:hint="eastAsia"/>
        </w:rPr>
      </w:pPr>
    </w:p>
    <w:tbl>
      <w:tblPr>
        <w:tblStyle w:val="7"/>
        <w:tblpPr w:leftFromText="180" w:rightFromText="180" w:vertAnchor="text" w:horzAnchor="page" w:tblpX="1547" w:tblpY="410"/>
        <w:tblOverlap w:val="never"/>
        <w:tblW w:w="0" w:type="auto"/>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03"/>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exact"/>
        </w:trPr>
        <w:tc>
          <w:tcPr>
            <w:tcW w:w="9003" w:type="dxa"/>
            <w:noWrap w:val="0"/>
            <w:vAlign w:val="center"/>
          </w:tcPr>
          <w:p>
            <w:pPr>
              <w:spacing w:line="520" w:lineRule="exact"/>
              <w:rPr>
                <w:rFonts w:eastAsia="方正仿宋简体"/>
                <w:b/>
                <w:bCs/>
                <w:sz w:val="32"/>
                <w:szCs w:val="32"/>
              </w:rPr>
            </w:pPr>
            <w:r>
              <w:rPr>
                <w:rFonts w:eastAsia="方正仿宋简体"/>
                <w:b/>
                <w:bCs/>
                <w:sz w:val="32"/>
                <w:szCs w:val="32"/>
              </w:rPr>
              <w:t>曲阜市文化和旅游局办公室            202</w:t>
            </w:r>
            <w:r>
              <w:rPr>
                <w:rFonts w:hint="eastAsia" w:eastAsia="方正仿宋简体"/>
                <w:b/>
                <w:bCs/>
                <w:sz w:val="32"/>
                <w:szCs w:val="32"/>
                <w:lang w:val="en-US" w:eastAsia="zh-CN"/>
              </w:rPr>
              <w:t>3</w:t>
            </w:r>
            <w:r>
              <w:rPr>
                <w:rFonts w:eastAsia="方正仿宋简体"/>
                <w:b/>
                <w:bCs/>
                <w:sz w:val="32"/>
                <w:szCs w:val="32"/>
              </w:rPr>
              <w:t>年</w:t>
            </w:r>
            <w:r>
              <w:rPr>
                <w:rFonts w:hint="eastAsia" w:eastAsia="方正仿宋简体"/>
                <w:b/>
                <w:bCs/>
                <w:sz w:val="32"/>
                <w:szCs w:val="32"/>
                <w:lang w:val="en-US" w:eastAsia="zh-CN"/>
              </w:rPr>
              <w:t>3</w:t>
            </w:r>
            <w:r>
              <w:rPr>
                <w:rFonts w:eastAsia="方正仿宋简体"/>
                <w:b/>
                <w:bCs/>
                <w:sz w:val="32"/>
                <w:szCs w:val="32"/>
              </w:rPr>
              <w:t>月</w:t>
            </w:r>
            <w:r>
              <w:rPr>
                <w:rFonts w:hint="eastAsia" w:eastAsia="方正仿宋简体"/>
                <w:b/>
                <w:bCs/>
                <w:sz w:val="32"/>
                <w:szCs w:val="32"/>
                <w:lang w:val="en-US" w:eastAsia="zh-CN"/>
              </w:rPr>
              <w:t>1</w:t>
            </w:r>
            <w:r>
              <w:rPr>
                <w:rFonts w:eastAsia="方正仿宋简体"/>
                <w:b/>
                <w:bCs/>
                <w:sz w:val="32"/>
                <w:szCs w:val="32"/>
              </w:rPr>
              <w:t>日印发</w:t>
            </w:r>
          </w:p>
        </w:tc>
      </w:tr>
    </w:tbl>
    <w:p>
      <w:pPr>
        <w:pStyle w:val="2"/>
        <w:jc w:val="both"/>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7B2D5A-CB54-477A-B133-5D7C4DCF3E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仿宋简体">
    <w:panose1 w:val="03000509000000000000"/>
    <w:charset w:val="86"/>
    <w:family w:val="script"/>
    <w:pitch w:val="default"/>
    <w:sig w:usb0="00000001" w:usb1="080E0000" w:usb2="00000000" w:usb3="00000000" w:csb0="00040000" w:csb1="00000000"/>
    <w:embedRegular r:id="rId2" w:fontKey="{CE543EB7-919B-4477-9730-D18B0FD68F05}"/>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89DB0DD3-1C1A-49ED-B0D0-6C511E8E95AA}"/>
  </w:font>
  <w:font w:name="楷体">
    <w:panose1 w:val="02010609060101010101"/>
    <w:charset w:val="86"/>
    <w:family w:val="modern"/>
    <w:pitch w:val="default"/>
    <w:sig w:usb0="800002BF" w:usb1="38CF7CFA" w:usb2="00000016" w:usb3="00000000" w:csb0="00040001" w:csb1="00000000"/>
    <w:embedRegular r:id="rId4" w:fontKey="{879570C6-AEA7-4F79-A41D-C3D7EFA55377}"/>
  </w:font>
  <w:font w:name="方正仿宋_GB2312">
    <w:altName w:val="仿宋"/>
    <w:panose1 w:val="02000000000000000000"/>
    <w:charset w:val="86"/>
    <w:family w:val="auto"/>
    <w:pitch w:val="default"/>
    <w:sig w:usb0="00000000" w:usb1="00000000" w:usb2="00000012" w:usb3="00000000" w:csb0="00040001" w:csb1="00000000"/>
    <w:embedRegular r:id="rId5" w:fontKey="{7F06D526-8B52-4D9D-889C-59F2358484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4171"/>
      <w:docPartObj>
        <w:docPartGallery w:val="autotext"/>
      </w:docPartObj>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85A08"/>
    <w:multiLevelType w:val="singleLevel"/>
    <w:tmpl w:val="2F285A08"/>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46035ECE"/>
    <w:rsid w:val="003812F8"/>
    <w:rsid w:val="00390337"/>
    <w:rsid w:val="003B38BD"/>
    <w:rsid w:val="003E3E82"/>
    <w:rsid w:val="004E5EF5"/>
    <w:rsid w:val="00545F86"/>
    <w:rsid w:val="006B0FA8"/>
    <w:rsid w:val="007D35D8"/>
    <w:rsid w:val="007D7B72"/>
    <w:rsid w:val="009800B0"/>
    <w:rsid w:val="00A7219E"/>
    <w:rsid w:val="00AF5735"/>
    <w:rsid w:val="00B125B9"/>
    <w:rsid w:val="00B63D46"/>
    <w:rsid w:val="00B763DC"/>
    <w:rsid w:val="00BE70B5"/>
    <w:rsid w:val="00D54FDE"/>
    <w:rsid w:val="00DE20BA"/>
    <w:rsid w:val="00F96ACB"/>
    <w:rsid w:val="019E162F"/>
    <w:rsid w:val="055A508B"/>
    <w:rsid w:val="058663AA"/>
    <w:rsid w:val="0E910299"/>
    <w:rsid w:val="1079718D"/>
    <w:rsid w:val="13D824C6"/>
    <w:rsid w:val="16AA639C"/>
    <w:rsid w:val="18826EA4"/>
    <w:rsid w:val="21ED1832"/>
    <w:rsid w:val="248F6BD1"/>
    <w:rsid w:val="284101E2"/>
    <w:rsid w:val="28E374EB"/>
    <w:rsid w:val="2A965368"/>
    <w:rsid w:val="2AE6350C"/>
    <w:rsid w:val="2F684D7C"/>
    <w:rsid w:val="40B97058"/>
    <w:rsid w:val="4528655A"/>
    <w:rsid w:val="46035ECE"/>
    <w:rsid w:val="4D330192"/>
    <w:rsid w:val="52B15DE1"/>
    <w:rsid w:val="68B735CD"/>
    <w:rsid w:val="6BEB1F0C"/>
    <w:rsid w:val="6C0703C8"/>
    <w:rsid w:val="6C094497"/>
    <w:rsid w:val="72035D8E"/>
    <w:rsid w:val="7CCA0DE9"/>
    <w:rsid w:val="7D524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10"/>
    <w:pPr>
      <w:spacing w:before="240" w:after="60"/>
      <w:jc w:val="center"/>
      <w:outlineLvl w:val="0"/>
    </w:pPr>
    <w:rPr>
      <w:rFonts w:ascii="Cambria" w:hAnsi="Cambria" w:eastAsia="宋体" w:cs="Times New Roman"/>
      <w:b/>
      <w:bCs/>
      <w:szCs w:val="32"/>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style>
  <w:style w:type="paragraph" w:styleId="6">
    <w:name w:val="Normal (Web)"/>
    <w:basedOn w:val="1"/>
    <w:autoRedefine/>
    <w:qFormat/>
    <w:uiPriority w:val="0"/>
    <w:pPr>
      <w:spacing w:beforeAutospacing="1" w:afterAutospacing="1"/>
      <w:jc w:val="left"/>
    </w:pPr>
    <w:rPr>
      <w:kern w:val="0"/>
      <w:sz w:val="24"/>
    </w:rPr>
  </w:style>
  <w:style w:type="character" w:customStyle="1" w:styleId="9">
    <w:name w:val="页眉 Char"/>
    <w:basedOn w:val="8"/>
    <w:link w:val="4"/>
    <w:autoRedefine/>
    <w:qFormat/>
    <w:uiPriority w:val="0"/>
    <w:rPr>
      <w:rFonts w:ascii="Calibri" w:hAnsi="Calibri"/>
      <w:kern w:val="2"/>
      <w:sz w:val="18"/>
      <w:szCs w:val="18"/>
    </w:rPr>
  </w:style>
  <w:style w:type="character" w:customStyle="1" w:styleId="10">
    <w:name w:val="页脚 Char"/>
    <w:basedOn w:val="8"/>
    <w:link w:val="3"/>
    <w:autoRedefine/>
    <w:qFormat/>
    <w:uiPriority w:val="99"/>
    <w:rPr>
      <w:rFonts w:ascii="Calibri" w:hAnsi="Calibri"/>
      <w:kern w:val="2"/>
      <w:sz w:val="18"/>
      <w:szCs w:val="18"/>
    </w:rPr>
  </w:style>
  <w:style w:type="paragraph" w:customStyle="1" w:styleId="11">
    <w:name w:val="正文首行缩进 21"/>
    <w:basedOn w:val="12"/>
    <w:autoRedefine/>
    <w:qFormat/>
    <w:uiPriority w:val="99"/>
    <w:pPr>
      <w:ind w:firstLine="420" w:firstLineChars="200"/>
    </w:pPr>
  </w:style>
  <w:style w:type="paragraph" w:customStyle="1" w:styleId="12">
    <w:name w:val="正文文本缩进1"/>
    <w:basedOn w:val="1"/>
    <w:autoRedefine/>
    <w:qFormat/>
    <w:uiPriority w:val="99"/>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3485</Words>
  <Characters>3541</Characters>
  <Lines>25</Lines>
  <Paragraphs>7</Paragraphs>
  <TotalTime>32</TotalTime>
  <ScaleCrop>false</ScaleCrop>
  <LinksUpToDate>false</LinksUpToDate>
  <CharactersWithSpaces>3550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2023-03-01T01:37:00Z</dcterms:created>
  <dc:creator>Radinka</dc:creator>
  <cp:lastModifiedBy>WPS_1700201384</cp:lastModifiedBy>
  <cp:lastPrinted>2023-03-10T07:27:00Z</cp:lastPrinted>
  <dcterms:modified xsi:type="dcterms:W3CDTF">2024-01-17T07:07:52Z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86E10C88B8D94CC5B4C6E577B0878381</vt:lpwstr>
  </property>
</Properties>
</file>