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撤销中共×××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支部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</w:rPr>
      </w:pP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中共曲阜市委市直机关工作委员会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</w:rPr>
        <w:t>：</w:t>
      </w:r>
    </w:p>
    <w:p>
      <w:pP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</w:pP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　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 xml:space="preserve"> XXX单位（社会信用代码全称）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于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年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月撤销（需附相关文件），根据《中国共产党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begin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instrText xml:space="preserve">HYPERLINK "http://gw.yjbys.com/zhangcheng/"</w:instrTex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separate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章程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end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》《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中国共产党支部工作条例（试行）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》等有关规定，现申请撤销中共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支部委员会，有关情况汇报如下。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委员会现有党员XX名（含预备党员X名），撤销后，组织关系转接至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委员会，全体党员的党费已缴纳至XX年XX月（请示的当月或前一个月）。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1B8A"/>
    <w:rsid w:val="5BD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2019-02-19T02:53:00Z</dcterms:created>
  <dc:creator>吕文晓</dc:creator>
  <cp:lastModifiedBy>吕文晓</cp:lastModifiedBy>
  <dcterms:modified xsi:type="dcterms:W3CDTF">2019-02-19T03:03:36Z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