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
          <w:bCs/>
          <w:sz w:val="44"/>
          <w:szCs w:val="44"/>
        </w:rPr>
      </w:pPr>
    </w:p>
    <w:p>
      <w:pPr>
        <w:spacing w:line="64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曲阜市投资促进服务中心</w:t>
      </w:r>
    </w:p>
    <w:p>
      <w:pPr>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2022年政府信息公开工作年度报告</w:t>
      </w:r>
    </w:p>
    <w:p>
      <w:pPr>
        <w:spacing w:line="640" w:lineRule="exact"/>
        <w:jc w:val="center"/>
        <w:rPr>
          <w:rFonts w:ascii="方正小标宋简体" w:hAnsi="方正小标宋简体" w:eastAsia="方正小标宋简体" w:cs="方正小标宋简体"/>
          <w:b/>
          <w:bCs/>
          <w:sz w:val="44"/>
          <w:szCs w:val="44"/>
        </w:rPr>
      </w:pP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根据《中华人民共和国政府信息公开条例》（以下简称《条例》）和《中华人民共和国政府信息公开工作年度报告格式》要求，发布曲阜市投资促进服务中心2022年政府信息公开工作年度报告。</w:t>
      </w:r>
    </w:p>
    <w:p>
      <w:pPr>
        <w:adjustRightInd w:val="0"/>
        <w:snapToGrid w:val="0"/>
        <w:spacing w:line="570" w:lineRule="exact"/>
        <w:ind w:firstLine="643" w:firstLineChars="200"/>
        <w:rPr>
          <w:rFonts w:ascii="Times New Roman" w:hAnsi="Times New Roman" w:eastAsia="黑体" w:cs="Times New Roman"/>
          <w:b/>
          <w:bCs/>
          <w:sz w:val="32"/>
          <w:szCs w:val="32"/>
        </w:rPr>
      </w:pPr>
      <w:r>
        <w:rPr>
          <w:rFonts w:ascii="Times New Roman" w:hAnsi="Times New Roman" w:eastAsia="方正仿宋简体" w:cs="Times New Roman"/>
          <w:b/>
          <w:bCs/>
          <w:sz w:val="32"/>
          <w:szCs w:val="32"/>
        </w:rPr>
        <w:t>本报告包括总体情况、主动公开政府信息情况、收到和处理政府信息公开申请情况、政府信息公开行政复议和行政诉讼情况、存在的主要问题及改进情况、其他需要报告的事项等六部分。本年度报告中所列数据统计期限从2022年1月1日到12月31日止。报告电子版可从曲阜市人民政府门户网站“政务公开”部门信息公开栏目中进行查看或下载（http：//www.qufu.gov.cn/）。如对本报告有疑问，请与曲阜市投资促进服务中心联系（地址:春秋路1号曲阜市政府，联系电话：0537-4498828）。</w:t>
      </w:r>
    </w:p>
    <w:p>
      <w:pPr>
        <w:adjustRightInd w:val="0"/>
        <w:snapToGrid w:val="0"/>
        <w:spacing w:line="570" w:lineRule="exact"/>
        <w:ind w:firstLine="643" w:firstLineChars="200"/>
        <w:rPr>
          <w:rFonts w:ascii="Times New Roman" w:hAnsi="Times New Roman" w:eastAsia="黑体" w:cs="Times New Roman"/>
          <w:b/>
          <w:bCs/>
          <w:sz w:val="32"/>
          <w:szCs w:val="32"/>
        </w:rPr>
      </w:pPr>
      <w:r>
        <w:rPr>
          <w:rFonts w:ascii="Times New Roman" w:hAnsi="Times New Roman" w:eastAsia="黑体" w:cs="Times New Roman"/>
          <w:b/>
          <w:bCs/>
          <w:sz w:val="32"/>
          <w:szCs w:val="32"/>
        </w:rPr>
        <w:t>一、总体情况</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2022年，曲阜市投资促进服务中心在曲阜市委、市政府的</w:t>
      </w:r>
      <w:r>
        <w:rPr>
          <w:rFonts w:hint="eastAsia" w:ascii="Times New Roman" w:hAnsi="Times New Roman" w:eastAsia="方正仿宋简体" w:cs="Times New Roman"/>
          <w:b/>
          <w:bCs/>
          <w:sz w:val="32"/>
          <w:szCs w:val="32"/>
          <w:lang w:val="en-US" w:eastAsia="zh-CN"/>
        </w:rPr>
        <w:t>正确</w:t>
      </w:r>
      <w:r>
        <w:rPr>
          <w:rFonts w:ascii="Times New Roman" w:hAnsi="Times New Roman" w:eastAsia="方正仿宋简体" w:cs="Times New Roman"/>
          <w:b/>
          <w:bCs/>
          <w:sz w:val="32"/>
          <w:szCs w:val="32"/>
        </w:rPr>
        <w:t>领导和市政府信息公开办公室的指导下，认真贯彻落实《条例》和上级政务工作相关安排部署，不断规范招商信息公开内容、创新招商信息公开形式、提高招商信息公开水平，提高招商引资经济领域透明度。</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（一）主动公开情况</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2022年，曲阜市投资促进服务中心通过各类媒体平台发布信息共计539条，其中通过曲阜市门户网站政务公开栏目主动公开各类信息12条，占比2％；通过网站子点发布各类信息288条，占比53％；通过微信公众号“曲阜市投资促进服务中心”发布信息239条，占比45％。</w:t>
      </w:r>
    </w:p>
    <w:p>
      <w:pPr>
        <w:spacing w:line="56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drawing>
          <wp:anchor distT="0" distB="0" distL="114300" distR="114300" simplePos="0" relativeHeight="251659264" behindDoc="0" locked="0" layoutInCell="1" allowOverlap="1">
            <wp:simplePos x="0" y="0"/>
            <wp:positionH relativeFrom="column">
              <wp:posOffset>932815</wp:posOffset>
            </wp:positionH>
            <wp:positionV relativeFrom="paragraph">
              <wp:posOffset>92710</wp:posOffset>
            </wp:positionV>
            <wp:extent cx="4105910" cy="3010535"/>
            <wp:effectExtent l="0" t="0" r="27940" b="1841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Times New Roman" w:hAnsi="Times New Roman" w:eastAsia="方正仿宋简体" w:cs="Times New Roman"/>
          <w:b/>
          <w:bCs/>
          <w:sz w:val="32"/>
          <w:szCs w:val="32"/>
        </w:rPr>
        <w:t xml:space="preserve">    </w:t>
      </w:r>
    </w:p>
    <w:p>
      <w:pPr>
        <w:spacing w:line="560" w:lineRule="exact"/>
        <w:ind w:firstLine="643" w:firstLineChars="200"/>
        <w:rPr>
          <w:rFonts w:ascii="Times New Roman" w:hAnsi="Times New Roman" w:eastAsia="方正仿宋简体" w:cs="Times New Roman"/>
          <w:b/>
          <w:bCs/>
          <w:sz w:val="32"/>
          <w:szCs w:val="32"/>
        </w:rPr>
      </w:pPr>
    </w:p>
    <w:p>
      <w:pPr>
        <w:spacing w:line="560" w:lineRule="exact"/>
        <w:ind w:firstLine="643" w:firstLineChars="200"/>
        <w:rPr>
          <w:rFonts w:ascii="Times New Roman" w:hAnsi="Times New Roman" w:eastAsia="方正仿宋简体" w:cs="Times New Roman"/>
          <w:b/>
          <w:bCs/>
          <w:sz w:val="32"/>
          <w:szCs w:val="32"/>
        </w:rPr>
      </w:pPr>
    </w:p>
    <w:p>
      <w:pPr>
        <w:spacing w:line="560" w:lineRule="exact"/>
        <w:ind w:firstLine="643" w:firstLineChars="200"/>
        <w:rPr>
          <w:rFonts w:ascii="Times New Roman" w:hAnsi="Times New Roman" w:eastAsia="方正仿宋简体" w:cs="Times New Roman"/>
          <w:b/>
          <w:bCs/>
          <w:sz w:val="32"/>
          <w:szCs w:val="32"/>
        </w:rPr>
      </w:pPr>
    </w:p>
    <w:p>
      <w:pPr>
        <w:spacing w:line="560" w:lineRule="exact"/>
        <w:ind w:firstLine="643" w:firstLineChars="200"/>
        <w:rPr>
          <w:rFonts w:ascii="Times New Roman" w:hAnsi="Times New Roman" w:eastAsia="方正仿宋简体" w:cs="Times New Roman"/>
          <w:b/>
          <w:bCs/>
          <w:sz w:val="32"/>
          <w:szCs w:val="32"/>
        </w:rPr>
      </w:pPr>
    </w:p>
    <w:p>
      <w:pPr>
        <w:spacing w:line="560" w:lineRule="exact"/>
        <w:ind w:firstLine="643" w:firstLineChars="200"/>
        <w:rPr>
          <w:rFonts w:ascii="Times New Roman" w:hAnsi="Times New Roman" w:eastAsia="方正仿宋简体" w:cs="Times New Roman"/>
          <w:b/>
          <w:bCs/>
          <w:sz w:val="32"/>
          <w:szCs w:val="32"/>
        </w:rPr>
      </w:pPr>
    </w:p>
    <w:p>
      <w:pPr>
        <w:adjustRightInd w:val="0"/>
        <w:snapToGrid w:val="0"/>
        <w:spacing w:line="570" w:lineRule="exact"/>
        <w:ind w:firstLine="643" w:firstLineChars="200"/>
        <w:rPr>
          <w:rFonts w:hint="eastAsia" w:ascii="Times New Roman" w:hAnsi="Times New Roman" w:eastAsia="方正仿宋简体" w:cs="Times New Roman"/>
          <w:b/>
          <w:bCs/>
          <w:sz w:val="32"/>
          <w:szCs w:val="32"/>
        </w:rPr>
      </w:pPr>
    </w:p>
    <w:p>
      <w:pPr>
        <w:adjustRightInd w:val="0"/>
        <w:snapToGrid w:val="0"/>
        <w:spacing w:line="570" w:lineRule="exact"/>
        <w:ind w:firstLine="643" w:firstLineChars="200"/>
        <w:rPr>
          <w:rFonts w:hint="eastAsia" w:ascii="Times New Roman" w:hAnsi="Times New Roman" w:eastAsia="方正仿宋简体" w:cs="Times New Roman"/>
          <w:b/>
          <w:bCs/>
          <w:sz w:val="32"/>
          <w:szCs w:val="32"/>
        </w:rPr>
      </w:pPr>
    </w:p>
    <w:p>
      <w:pPr>
        <w:adjustRightInd w:val="0"/>
        <w:snapToGrid w:val="0"/>
        <w:spacing w:line="570" w:lineRule="exact"/>
        <w:ind w:firstLine="643" w:firstLineChars="200"/>
        <w:rPr>
          <w:rFonts w:hint="eastAsia" w:ascii="Times New Roman" w:hAnsi="Times New Roman" w:eastAsia="方正仿宋简体" w:cs="Times New Roman"/>
          <w:b/>
          <w:bCs/>
          <w:sz w:val="32"/>
          <w:szCs w:val="32"/>
        </w:rPr>
      </w:pP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仿宋简体" w:cs="Times New Roman"/>
          <w:b/>
          <w:bCs/>
          <w:sz w:val="32"/>
          <w:szCs w:val="32"/>
        </w:rPr>
        <w:t>今年共接到网络问政6件、已回复6件，办结率100％。主要负责同志参与“强作风、抓落实、看成效”专题访谈1次，参与“牢记嘱托走在前，勇担使命开新局”专题访谈1次，参与“学习贯彻党的二十大精神”专题访谈1次。</w:t>
      </w:r>
    </w:p>
    <w:p>
      <w:pPr>
        <w:adjustRightInd w:val="0"/>
        <w:snapToGrid w:val="0"/>
        <w:spacing w:line="570" w:lineRule="exact"/>
        <w:ind w:firstLine="643" w:firstLineChars="200"/>
        <w:rPr>
          <w:rFonts w:ascii="Times New Roman" w:hAnsi="Times New Roman" w:eastAsia="方正楷体简体" w:cs="Times New Roman"/>
          <w:b/>
          <w:bCs/>
          <w:sz w:val="32"/>
          <w:szCs w:val="32"/>
        </w:rPr>
      </w:pP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（二）依申请公开情况</w:t>
      </w:r>
    </w:p>
    <w:p>
      <w:pPr>
        <w:adjustRightInd w:val="0"/>
        <w:snapToGrid w:val="0"/>
        <w:spacing w:line="570" w:lineRule="exact"/>
        <w:ind w:firstLine="643" w:firstLineChars="200"/>
        <w:rPr>
          <w:rFonts w:ascii="Times New Roman" w:hAnsi="Times New Roman" w:eastAsia="方正仿宋简体" w:cs="Times New Roman"/>
          <w:b/>
          <w:bCs/>
          <w:color w:val="auto"/>
          <w:sz w:val="32"/>
          <w:szCs w:val="32"/>
        </w:rPr>
      </w:pPr>
      <w:r>
        <w:rPr>
          <w:rFonts w:ascii="Times New Roman" w:hAnsi="Times New Roman" w:eastAsia="方正仿宋简体" w:cs="Times New Roman"/>
          <w:b/>
          <w:bCs/>
          <w:color w:val="auto"/>
          <w:sz w:val="32"/>
          <w:szCs w:val="32"/>
        </w:rPr>
        <w:t>2022年</w:t>
      </w:r>
      <w:r>
        <w:rPr>
          <w:rFonts w:hint="eastAsia" w:ascii="Times New Roman" w:hAnsi="Times New Roman" w:eastAsia="方正仿宋简体" w:cs="Times New Roman"/>
          <w:b/>
          <w:bCs/>
          <w:color w:val="auto"/>
          <w:sz w:val="32"/>
          <w:szCs w:val="32"/>
          <w:lang w:val="en-US" w:eastAsia="zh-CN"/>
        </w:rPr>
        <w:t>未</w:t>
      </w:r>
      <w:r>
        <w:rPr>
          <w:rFonts w:ascii="Times New Roman" w:hAnsi="Times New Roman" w:eastAsia="方正仿宋简体" w:cs="Times New Roman"/>
          <w:b/>
          <w:bCs/>
          <w:color w:val="auto"/>
          <w:sz w:val="32"/>
          <w:szCs w:val="32"/>
        </w:rPr>
        <w:t>收到政府信息公开申请。</w:t>
      </w:r>
    </w:p>
    <w:p>
      <w:pPr>
        <w:adjustRightInd w:val="0"/>
        <w:snapToGrid w:val="0"/>
        <w:spacing w:line="570" w:lineRule="exact"/>
        <w:ind w:firstLine="643" w:firstLineChars="200"/>
        <w:rPr>
          <w:rFonts w:ascii="Times New Roman" w:hAnsi="Times New Roman" w:eastAsia="方正楷体简体" w:cs="Times New Roman"/>
          <w:b/>
          <w:bCs/>
          <w:color w:val="auto"/>
          <w:sz w:val="32"/>
          <w:szCs w:val="32"/>
        </w:rPr>
      </w:pPr>
    </w:p>
    <w:p>
      <w:pPr>
        <w:adjustRightInd w:val="0"/>
        <w:snapToGrid w:val="0"/>
        <w:spacing w:line="570" w:lineRule="exact"/>
        <w:ind w:firstLine="643" w:firstLineChars="200"/>
        <w:rPr>
          <w:rFonts w:ascii="Times New Roman" w:hAnsi="Times New Roman" w:eastAsia="方正楷体简体" w:cs="Times New Roman"/>
          <w:b/>
          <w:bCs/>
          <w:color w:val="auto"/>
          <w:sz w:val="32"/>
          <w:szCs w:val="32"/>
        </w:rPr>
      </w:pPr>
      <w:r>
        <w:rPr>
          <w:rFonts w:ascii="Times New Roman" w:hAnsi="Times New Roman" w:eastAsia="方正楷体简体" w:cs="Times New Roman"/>
          <w:b/>
          <w:bCs/>
          <w:color w:val="auto"/>
          <w:sz w:val="32"/>
          <w:szCs w:val="32"/>
        </w:rPr>
        <w:t>（三）政府信息管理情况</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color w:val="auto"/>
          <w:sz w:val="32"/>
          <w:szCs w:val="32"/>
        </w:rPr>
        <w:t>强化组织领导，明确专人负责政府信息公开工作内容更新、维护及组织协调工作，按要求及时规范发布信息</w:t>
      </w:r>
      <w:r>
        <w:rPr>
          <w:rFonts w:ascii="Times New Roman" w:hAnsi="Times New Roman" w:eastAsia="方正仿宋简体" w:cs="Times New Roman"/>
          <w:b/>
          <w:bCs/>
          <w:sz w:val="32"/>
          <w:szCs w:val="32"/>
        </w:rPr>
        <w:t>。严格信息审查，市投促中心严格执行信息公开审核制度，按照“先审查、后公开”和“谁公开谁审查、谁审查谁负责”等要求，严抓信息审核，规范发布流程。强化工作落实，不断完善政务公开日常监测机制，加强统计分析，提升公开内容质量。</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（四）政府信息公开平台建设情况</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1.强化政府网站平台建设管理。严格按照市政府办公室政务公开要求，深入贯彻落实“五公开”制度，对照部门主动公开基本目录，逐项分解细化。</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2.打造“互联网+政务服务”线上平台。充分利用政务公开网站、“曲阜市投资促进服务中心”微信公众号等渠道，做好权威信息发布，进一步增强公开实效，提升服务水平。</w:t>
      </w:r>
    </w:p>
    <w:p>
      <w:pPr>
        <w:adjustRightInd w:val="0"/>
        <w:snapToGrid w:val="0"/>
        <w:spacing w:line="570" w:lineRule="exact"/>
        <w:ind w:firstLine="643" w:firstLineChars="200"/>
        <w:rPr>
          <w:rFonts w:ascii="Times New Roman" w:hAnsi="Times New Roman" w:eastAsia="方正楷体简体" w:cs="Times New Roman"/>
          <w:b/>
          <w:bCs/>
          <w:sz w:val="32"/>
          <w:szCs w:val="32"/>
        </w:rPr>
        <w:sectPr>
          <w:footerReference r:id="rId3" w:type="default"/>
          <w:pgSz w:w="11906" w:h="16838"/>
          <w:pgMar w:top="2154" w:right="1361" w:bottom="1701" w:left="1587" w:header="851" w:footer="992" w:gutter="0"/>
          <w:pgNumType w:fmt="numberInDash"/>
          <w:cols w:space="425" w:num="1"/>
          <w:docGrid w:type="lines" w:linePitch="312" w:charSpace="0"/>
        </w:sectPr>
      </w:pP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（五）监督保障情况</w:t>
      </w:r>
    </w:p>
    <w:p>
      <w:pPr>
        <w:adjustRightInd w:val="0"/>
        <w:snapToGrid w:val="0"/>
        <w:spacing w:line="570" w:lineRule="exact"/>
        <w:ind w:firstLine="643" w:firstLineChars="200"/>
        <w:rPr>
          <w:rFonts w:ascii="Times New Roman" w:hAnsi="Times New Roman" w:eastAsia="方正仿宋简体" w:cs="Times New Roman"/>
          <w:b/>
          <w:bCs/>
          <w:sz w:val="32"/>
          <w:szCs w:val="32"/>
        </w:rPr>
        <w:sectPr>
          <w:type w:val="continuous"/>
          <w:pgSz w:w="11906" w:h="16838"/>
          <w:pgMar w:top="1440" w:right="1800" w:bottom="1440" w:left="1800" w:header="851" w:footer="992" w:gutter="0"/>
          <w:pgNumType w:fmt="numberInDash"/>
          <w:cols w:space="425" w:num="1"/>
          <w:docGrid w:type="lines" w:linePitch="312" w:charSpace="0"/>
        </w:sectPr>
      </w:pP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color w:val="auto"/>
          <w:sz w:val="32"/>
          <w:szCs w:val="32"/>
        </w:rPr>
        <w:t>曲阜市投资促进服务中心高度重视对政务公开和信息公开工作的指导监督，根据全市政府信息公开工作统一部署和要求，进一步强化信息公开工作的组织领导。</w:t>
      </w:r>
      <w:r>
        <w:rPr>
          <w:rFonts w:hint="eastAsia" w:ascii="Times New Roman" w:hAnsi="Times New Roman" w:eastAsia="方正仿宋简体" w:cs="Times New Roman"/>
          <w:b/>
          <w:bCs/>
          <w:color w:val="auto"/>
          <w:sz w:val="32"/>
          <w:szCs w:val="32"/>
          <w:lang w:val="en-US" w:eastAsia="zh-CN"/>
        </w:rPr>
        <w:t>市投促中心</w:t>
      </w:r>
      <w:r>
        <w:rPr>
          <w:rFonts w:ascii="Times New Roman" w:hAnsi="Times New Roman" w:eastAsia="方正仿宋简体" w:cs="Times New Roman"/>
          <w:b/>
          <w:bCs/>
          <w:sz w:val="32"/>
          <w:szCs w:val="32"/>
        </w:rPr>
        <w:t>办公室是本单位的政府信息公开工作机构，现有工作人员4人，其中负责受理信息公开申请的兼职工作人员1人，负责网站子点新闻发布、新媒体日常内容保障的兼职工作人员2人，负责政务信息公开兼职工作人员1人。2022年按照政务公开培训计划，进一步增强机关干部的政务公开意识，组织开展2022年政务公开业务培训，认真学习了《中华人民共和国政府信息公开条例》等文件，规范政务公开工作，提高我市招商引资信息公开工作制度化、规范化，营造招商引资、招才引智的良好氛围。</w:t>
      </w:r>
    </w:p>
    <w:p>
      <w:pPr>
        <w:spacing w:line="560" w:lineRule="exact"/>
        <w:ind w:firstLine="643" w:firstLineChars="200"/>
        <w:rPr>
          <w:rFonts w:ascii="Times New Roman" w:hAnsi="Times New Roman" w:eastAsia="黑体" w:cs="Times New Roman"/>
          <w:b/>
          <w:bCs/>
          <w:sz w:val="32"/>
          <w:szCs w:val="32"/>
        </w:rPr>
      </w:pPr>
    </w:p>
    <w:p>
      <w:pPr>
        <w:spacing w:line="560" w:lineRule="exact"/>
        <w:ind w:firstLine="643" w:firstLineChars="200"/>
        <w:rPr>
          <w:rFonts w:ascii="Times New Roman" w:hAnsi="Times New Roman" w:eastAsia="黑体" w:cs="Times New Roman"/>
          <w:b/>
          <w:bCs/>
          <w:sz w:val="32"/>
          <w:szCs w:val="32"/>
        </w:rPr>
      </w:pPr>
      <w:r>
        <w:rPr>
          <w:rFonts w:ascii="Times New Roman" w:hAnsi="Times New Roman" w:eastAsia="黑体" w:cs="Times New Roman"/>
          <w:b/>
          <w:bCs/>
          <w:sz w:val="32"/>
          <w:szCs w:val="32"/>
        </w:rPr>
        <w:t>二、主动公开政府信息情况</w:t>
      </w:r>
    </w:p>
    <w:tbl>
      <w:tblPr>
        <w:tblStyle w:val="5"/>
        <w:tblW w:w="8640" w:type="dxa"/>
        <w:tblInd w:w="0" w:type="dxa"/>
        <w:tblLayout w:type="fixed"/>
        <w:tblCellMar>
          <w:top w:w="0" w:type="dxa"/>
          <w:left w:w="108" w:type="dxa"/>
          <w:bottom w:w="0" w:type="dxa"/>
          <w:right w:w="108" w:type="dxa"/>
        </w:tblCellMar>
      </w:tblPr>
      <w:tblGrid>
        <w:gridCol w:w="2160"/>
        <w:gridCol w:w="2160"/>
        <w:gridCol w:w="2160"/>
        <w:gridCol w:w="2160"/>
      </w:tblGrid>
      <w:tr>
        <w:tblPrEx>
          <w:tblCellMar>
            <w:top w:w="0" w:type="dxa"/>
            <w:left w:w="108" w:type="dxa"/>
            <w:bottom w:w="0" w:type="dxa"/>
            <w:right w:w="108" w:type="dxa"/>
          </w:tblCellMar>
        </w:tblPrEx>
        <w:trPr>
          <w:trHeight w:val="464" w:hRule="atLeast"/>
        </w:trPr>
        <w:tc>
          <w:tcPr>
            <w:tcW w:w="8639"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560" w:lineRule="exact"/>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第二十条第（一）项</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信息内容</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本年制发件数</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本年废止件数</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现行有效件数</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规章</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行政规范性文件</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c>
          <w:tcPr>
            <w:tcW w:w="2160" w:type="dxa"/>
            <w:tcBorders>
              <w:top w:val="nil"/>
              <w:left w:val="nil"/>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r>
      <w:tr>
        <w:tblPrEx>
          <w:tblCellMar>
            <w:top w:w="0" w:type="dxa"/>
            <w:left w:w="108" w:type="dxa"/>
            <w:bottom w:w="0" w:type="dxa"/>
            <w:right w:w="108" w:type="dxa"/>
          </w:tblCellMar>
        </w:tblPrEx>
        <w:trPr>
          <w:trHeight w:val="464" w:hRule="atLeast"/>
        </w:trPr>
        <w:tc>
          <w:tcPr>
            <w:tcW w:w="8639"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560" w:lineRule="exact"/>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第二十条第（五）项</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信息内容</w:t>
            </w:r>
          </w:p>
        </w:tc>
        <w:tc>
          <w:tcPr>
            <w:tcW w:w="6479"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本年处理决定数量</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行政许可</w:t>
            </w:r>
          </w:p>
        </w:tc>
        <w:tc>
          <w:tcPr>
            <w:tcW w:w="6479"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560" w:lineRule="exact"/>
              <w:ind w:firstLine="422" w:firstLineChars="200"/>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r>
      <w:tr>
        <w:tblPrEx>
          <w:tblCellMar>
            <w:top w:w="0" w:type="dxa"/>
            <w:left w:w="108" w:type="dxa"/>
            <w:bottom w:w="0" w:type="dxa"/>
            <w:right w:w="108" w:type="dxa"/>
          </w:tblCellMar>
        </w:tblPrEx>
        <w:trPr>
          <w:trHeight w:val="464" w:hRule="atLeast"/>
        </w:trPr>
        <w:tc>
          <w:tcPr>
            <w:tcW w:w="8639"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560" w:lineRule="exact"/>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第二十条第（六）项</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信息内容</w:t>
            </w:r>
          </w:p>
        </w:tc>
        <w:tc>
          <w:tcPr>
            <w:tcW w:w="6479"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本年处理决定数量</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行政处罚</w:t>
            </w:r>
          </w:p>
        </w:tc>
        <w:tc>
          <w:tcPr>
            <w:tcW w:w="6479"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560" w:lineRule="exact"/>
              <w:ind w:firstLine="422" w:firstLineChars="200"/>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行政强制</w:t>
            </w:r>
          </w:p>
        </w:tc>
        <w:tc>
          <w:tcPr>
            <w:tcW w:w="6479"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560" w:lineRule="exact"/>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0</w:t>
            </w:r>
          </w:p>
        </w:tc>
      </w:tr>
      <w:tr>
        <w:tblPrEx>
          <w:tblCellMar>
            <w:top w:w="0" w:type="dxa"/>
            <w:left w:w="108" w:type="dxa"/>
            <w:bottom w:w="0" w:type="dxa"/>
            <w:right w:w="108" w:type="dxa"/>
          </w:tblCellMar>
        </w:tblPrEx>
        <w:trPr>
          <w:trHeight w:val="464" w:hRule="atLeast"/>
        </w:trPr>
        <w:tc>
          <w:tcPr>
            <w:tcW w:w="8639"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560" w:lineRule="exact"/>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第二十条第（八）项</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信息内容</w:t>
            </w:r>
          </w:p>
        </w:tc>
        <w:tc>
          <w:tcPr>
            <w:tcW w:w="6479"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56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本年收费金额（单位：万元）</w:t>
            </w:r>
          </w:p>
        </w:tc>
      </w:tr>
      <w:tr>
        <w:tblPrEx>
          <w:tblCellMar>
            <w:top w:w="0" w:type="dxa"/>
            <w:left w:w="108" w:type="dxa"/>
            <w:bottom w:w="0" w:type="dxa"/>
            <w:right w:w="108" w:type="dxa"/>
          </w:tblCellMar>
        </w:tblPrEx>
        <w:trPr>
          <w:trHeight w:val="464" w:hRule="atLeast"/>
        </w:trPr>
        <w:tc>
          <w:tcPr>
            <w:tcW w:w="2160" w:type="dxa"/>
            <w:tcBorders>
              <w:top w:val="nil"/>
              <w:left w:val="single" w:color="auto" w:sz="8" w:space="0"/>
              <w:bottom w:val="single" w:color="auto" w:sz="8" w:space="0"/>
              <w:right w:val="single" w:color="auto" w:sz="8" w:space="0"/>
            </w:tcBorders>
            <w:shd w:val="clear" w:color="auto" w:fill="auto"/>
            <w:vAlign w:val="center"/>
          </w:tcPr>
          <w:p>
            <w:pPr>
              <w:widowControl/>
              <w:spacing w:line="560" w:lineRule="exact"/>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行政事业性收费</w:t>
            </w:r>
          </w:p>
        </w:tc>
        <w:tc>
          <w:tcPr>
            <w:tcW w:w="6479" w:type="dxa"/>
            <w:gridSpan w:val="3"/>
            <w:tcBorders>
              <w:top w:val="single" w:color="auto" w:sz="8" w:space="0"/>
              <w:left w:val="nil"/>
              <w:bottom w:val="single" w:color="auto" w:sz="8" w:space="0"/>
              <w:right w:val="single" w:color="000000" w:sz="8" w:space="0"/>
            </w:tcBorders>
            <w:shd w:val="clear" w:color="auto" w:fill="auto"/>
            <w:vAlign w:val="center"/>
          </w:tcPr>
          <w:p>
            <w:pPr>
              <w:widowControl/>
              <w:spacing w:line="560" w:lineRule="exact"/>
              <w:ind w:firstLine="422" w:firstLineChars="200"/>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0</w:t>
            </w:r>
          </w:p>
        </w:tc>
      </w:tr>
    </w:tbl>
    <w:p>
      <w:pPr>
        <w:spacing w:line="560" w:lineRule="exact"/>
        <w:rPr>
          <w:rFonts w:ascii="Times New Roman" w:hAnsi="Times New Roman" w:eastAsia="黑体" w:cs="Times New Roman"/>
          <w:b/>
          <w:bCs/>
          <w:sz w:val="32"/>
          <w:szCs w:val="32"/>
        </w:rPr>
      </w:pPr>
    </w:p>
    <w:p>
      <w:pPr>
        <w:spacing w:line="560" w:lineRule="exact"/>
        <w:rPr>
          <w:rFonts w:ascii="Times New Roman" w:hAnsi="Times New Roman" w:eastAsia="黑体" w:cs="Times New Roman"/>
          <w:b/>
          <w:bCs/>
          <w:sz w:val="32"/>
          <w:szCs w:val="32"/>
        </w:rPr>
      </w:pPr>
      <w:bookmarkStart w:id="10" w:name="_GoBack"/>
      <w:bookmarkEnd w:id="10"/>
    </w:p>
    <w:p>
      <w:pPr>
        <w:spacing w:line="560" w:lineRule="exact"/>
        <w:rPr>
          <w:rFonts w:ascii="Times New Roman" w:hAnsi="Times New Roman" w:eastAsia="黑体" w:cs="Times New Roman"/>
          <w:b/>
          <w:bCs/>
          <w:sz w:val="32"/>
          <w:szCs w:val="32"/>
        </w:rPr>
      </w:pPr>
      <w:r>
        <w:rPr>
          <w:rFonts w:ascii="Times New Roman" w:hAnsi="Times New Roman" w:eastAsia="黑体" w:cs="Times New Roman"/>
          <w:b/>
          <w:bCs/>
          <w:sz w:val="32"/>
          <w:szCs w:val="32"/>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Times New Roman" w:hAnsi="Times New Roman" w:eastAsia="楷体_GB2312" w:cs="Times New Roman"/>
                <w:kern w:val="0"/>
                <w:szCs w:val="21"/>
              </w:rPr>
            </w:pPr>
            <w:r>
              <w:rPr>
                <w:rFonts w:ascii="Times New Roman" w:hAnsi="Times New Roman" w:eastAsia="楷体_GB2312" w:cs="Times New Roman"/>
                <w:kern w:val="0"/>
                <w:szCs w:val="21"/>
              </w:rPr>
              <w:t>（本列数据的勾稽关系为：第一项加第二项之和，</w:t>
            </w:r>
          </w:p>
          <w:p>
            <w:pPr>
              <w:widowControl/>
              <w:jc w:val="center"/>
              <w:rPr>
                <w:rFonts w:ascii="Times New Roman" w:hAnsi="Times New Roman" w:eastAsia="仿宋_GB2312" w:cs="Times New Roman"/>
                <w:szCs w:val="21"/>
              </w:rPr>
            </w:pPr>
            <w:r>
              <w:rPr>
                <w:rFonts w:ascii="Times New Roman" w:hAnsi="Times New Roman" w:eastAsia="楷体_GB2312" w:cs="Times New Roman"/>
                <w:kern w:val="0"/>
                <w:szCs w:val="21"/>
              </w:rPr>
              <w:t>等于第三项加第四项之和）</w:t>
            </w:r>
          </w:p>
        </w:tc>
        <w:tc>
          <w:tcPr>
            <w:tcW w:w="4448" w:type="dxa"/>
            <w:gridSpan w:val="7"/>
            <w:shd w:val="clear" w:color="auto" w:fill="auto"/>
            <w:tcMar>
              <w:left w:w="108" w:type="dxa"/>
              <w:right w:w="108" w:type="dxa"/>
            </w:tcMar>
            <w:vAlign w:val="center"/>
          </w:tcPr>
          <w:p>
            <w:pPr>
              <w:widowControl/>
              <w:spacing w:line="320" w:lineRule="exact"/>
              <w:jc w:val="center"/>
              <w:rPr>
                <w:rFonts w:ascii="Times New Roman" w:hAnsi="Times New Roman" w:eastAsia="黑体" w:cs="Times New Roman"/>
                <w:szCs w:val="21"/>
              </w:rPr>
            </w:pPr>
            <w:r>
              <w:rPr>
                <w:rFonts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cs="Times New Roman"/>
                <w:szCs w:val="21"/>
              </w:rPr>
            </w:pPr>
          </w:p>
        </w:tc>
        <w:tc>
          <w:tcPr>
            <w:tcW w:w="747" w:type="dxa"/>
            <w:vMerge w:val="restart"/>
            <w:shd w:val="clear" w:color="auto" w:fill="auto"/>
            <w:tcMar>
              <w:left w:w="108" w:type="dxa"/>
              <w:right w:w="108" w:type="dxa"/>
            </w:tcMar>
            <w:vAlign w:val="center"/>
          </w:tcPr>
          <w:p>
            <w:pPr>
              <w:widowControl/>
              <w:jc w:val="center"/>
              <w:rPr>
                <w:rFonts w:ascii="Times New Roman" w:hAnsi="Times New Roman" w:eastAsia="黑体" w:cs="Times New Roman"/>
                <w:szCs w:val="21"/>
              </w:rPr>
            </w:pPr>
            <w:r>
              <w:rPr>
                <w:rFonts w:ascii="Times New Roman" w:hAnsi="Times New Roman" w:eastAsia="黑体" w:cs="Times New Roman"/>
                <w:kern w:val="0"/>
                <w:szCs w:val="21"/>
              </w:rPr>
              <w:t>自然人</w:t>
            </w:r>
          </w:p>
        </w:tc>
        <w:tc>
          <w:tcPr>
            <w:tcW w:w="3000" w:type="dxa"/>
            <w:gridSpan w:val="5"/>
            <w:shd w:val="clear" w:color="auto" w:fill="auto"/>
            <w:tcMar>
              <w:left w:w="108" w:type="dxa"/>
              <w:right w:w="108" w:type="dxa"/>
            </w:tcMar>
            <w:vAlign w:val="center"/>
          </w:tcPr>
          <w:p>
            <w:pPr>
              <w:widowControl/>
              <w:spacing w:line="320" w:lineRule="exact"/>
              <w:jc w:val="center"/>
              <w:rPr>
                <w:rFonts w:ascii="Times New Roman" w:hAnsi="Times New Roman" w:eastAsia="黑体" w:cs="Times New Roman"/>
                <w:szCs w:val="21"/>
              </w:rPr>
            </w:pPr>
            <w:r>
              <w:rPr>
                <w:rFonts w:ascii="Times New Roman" w:hAnsi="Times New Roman" w:eastAsia="黑体" w:cs="Times New Roman"/>
                <w:kern w:val="0"/>
                <w:szCs w:val="21"/>
              </w:rPr>
              <w:t>法人或其他组织</w:t>
            </w:r>
          </w:p>
        </w:tc>
        <w:tc>
          <w:tcPr>
            <w:tcW w:w="701" w:type="dxa"/>
            <w:vMerge w:val="restart"/>
            <w:shd w:val="clear" w:color="auto" w:fill="auto"/>
            <w:tcMar>
              <w:left w:w="108" w:type="dxa"/>
              <w:right w:w="108" w:type="dxa"/>
            </w:tcMar>
            <w:vAlign w:val="center"/>
          </w:tcPr>
          <w:p>
            <w:pPr>
              <w:widowControl/>
              <w:jc w:val="center"/>
              <w:rPr>
                <w:rFonts w:ascii="Times New Roman" w:hAnsi="Times New Roman" w:eastAsia="黑体" w:cs="Times New Roman"/>
                <w:szCs w:val="21"/>
              </w:rPr>
            </w:pPr>
            <w:r>
              <w:rPr>
                <w:rFonts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cs="Times New Roman"/>
                <w:szCs w:val="21"/>
              </w:rPr>
            </w:pPr>
          </w:p>
        </w:tc>
        <w:tc>
          <w:tcPr>
            <w:tcW w:w="747" w:type="dxa"/>
            <w:vMerge w:val="continue"/>
            <w:shd w:val="clear" w:color="auto" w:fill="auto"/>
            <w:tcMar>
              <w:left w:w="108" w:type="dxa"/>
              <w:right w:w="108" w:type="dxa"/>
            </w:tcMar>
            <w:vAlign w:val="center"/>
          </w:tcPr>
          <w:p>
            <w:pPr>
              <w:jc w:val="center"/>
              <w:rPr>
                <w:rFonts w:ascii="Times New Roman" w:hAnsi="Times New Roman" w:eastAsia="黑体" w:cs="Times New Roman"/>
                <w:szCs w:val="21"/>
              </w:rPr>
            </w:pPr>
          </w:p>
        </w:tc>
        <w:tc>
          <w:tcPr>
            <w:tcW w:w="540"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cs="Times New Roman"/>
                <w:szCs w:val="21"/>
              </w:rPr>
            </w:pPr>
            <w:r>
              <w:rPr>
                <w:rFonts w:ascii="Times New Roman" w:hAnsi="Times New Roman" w:eastAsia="黑体" w:cs="Times New Roman"/>
                <w:kern w:val="0"/>
                <w:szCs w:val="21"/>
              </w:rPr>
              <w:t>商业企业</w:t>
            </w:r>
          </w:p>
        </w:tc>
        <w:tc>
          <w:tcPr>
            <w:tcW w:w="540"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cs="Times New Roman"/>
                <w:szCs w:val="21"/>
              </w:rPr>
            </w:pPr>
            <w:r>
              <w:rPr>
                <w:rFonts w:ascii="Times New Roman" w:hAnsi="Times New Roman" w:eastAsia="黑体" w:cs="Times New Roman"/>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cs="Times New Roman"/>
                <w:szCs w:val="21"/>
              </w:rPr>
            </w:pPr>
            <w:r>
              <w:rPr>
                <w:rFonts w:ascii="Times New Roman" w:hAnsi="Times New Roman" w:eastAsia="黑体" w:cs="Times New Roman"/>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cs="Times New Roman"/>
                <w:szCs w:val="21"/>
              </w:rPr>
            </w:pPr>
            <w:r>
              <w:rPr>
                <w:rFonts w:ascii="Times New Roman" w:hAnsi="Times New Roman" w:eastAsia="黑体" w:cs="Times New Roman"/>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Times New Roman" w:hAnsi="Times New Roman" w:eastAsia="黑体" w:cs="Times New Roman"/>
                <w:szCs w:val="21"/>
              </w:rPr>
            </w:pPr>
            <w:r>
              <w:rPr>
                <w:rFonts w:ascii="Times New Roman" w:hAnsi="Times New Roman" w:eastAsia="黑体" w:cs="Times New Roman"/>
                <w:kern w:val="0"/>
                <w:szCs w:val="21"/>
              </w:rPr>
              <w:t>其他</w:t>
            </w:r>
          </w:p>
        </w:tc>
        <w:tc>
          <w:tcPr>
            <w:tcW w:w="701" w:type="dxa"/>
            <w:vMerge w:val="continue"/>
            <w:shd w:val="clear" w:color="auto" w:fill="auto"/>
            <w:tcMar>
              <w:left w:w="108" w:type="dxa"/>
              <w:right w:w="108" w:type="dxa"/>
            </w:tcMar>
            <w:vAlign w:val="center"/>
          </w:tcPr>
          <w:p>
            <w:pPr>
              <w:jc w:val="center"/>
              <w:rPr>
                <w:rFonts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cs="Times New Roman"/>
                <w:szCs w:val="21"/>
              </w:rPr>
            </w:pPr>
            <w:r>
              <w:rPr>
                <w:rFonts w:ascii="Times New Roman" w:hAnsi="Times New Roman" w:eastAsia="黑体" w:cs="Times New Roman"/>
                <w:kern w:val="0"/>
                <w:szCs w:val="21"/>
              </w:rPr>
              <w:t>一、</w:t>
            </w:r>
            <w:bookmarkStart w:id="0" w:name="_Hlk66973412"/>
            <w:r>
              <w:rPr>
                <w:rFonts w:ascii="Times New Roman" w:hAnsi="Times New Roman" w:eastAsia="黑体" w:cs="Times New Roman"/>
                <w:kern w:val="0"/>
                <w:szCs w:val="21"/>
              </w:rPr>
              <w:t>本年新收政府信息公开申请数量</w:t>
            </w:r>
            <w:bookmarkEnd w:id="0"/>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cs="Times New Roman"/>
                <w:szCs w:val="21"/>
              </w:rPr>
            </w:pPr>
            <w:r>
              <w:rPr>
                <w:rFonts w:ascii="Times New Roman" w:hAnsi="Times New Roman" w:eastAsia="黑体" w:cs="Times New Roman"/>
                <w:kern w:val="0"/>
                <w:szCs w:val="21"/>
              </w:rPr>
              <w:t>二、上年结转政府信息公开申请数量</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Times New Roman" w:hAnsi="Times New Roman" w:eastAsia="黑体" w:cs="Times New Roman"/>
                <w:szCs w:val="21"/>
              </w:rPr>
            </w:pPr>
            <w:r>
              <w:rPr>
                <w:rFonts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widowControl/>
              <w:rPr>
                <w:rFonts w:ascii="Times New Roman" w:hAnsi="Times New Roman" w:eastAsia="黑体" w:cs="Times New Roman"/>
                <w:szCs w:val="21"/>
              </w:rPr>
            </w:pPr>
            <w:r>
              <w:rPr>
                <w:rFonts w:ascii="Times New Roman" w:hAnsi="Times New Roman" w:eastAsia="黑体" w:cs="Times New Roman"/>
                <w:kern w:val="0"/>
                <w:szCs w:val="21"/>
              </w:rPr>
              <w:t>（一）予以公开</w:t>
            </w:r>
          </w:p>
        </w:tc>
        <w:tc>
          <w:tcPr>
            <w:tcW w:w="75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3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rPr>
                <w:rFonts w:ascii="Times New Roman" w:hAnsi="Times New Roman" w:eastAsia="黑体" w:cs="Times New Roman"/>
                <w:szCs w:val="21"/>
              </w:rPr>
            </w:pPr>
            <w:r>
              <w:rPr>
                <w:rFonts w:ascii="Times New Roman" w:hAnsi="Times New Roman" w:eastAsia="黑体" w:cs="Times New Roman"/>
                <w:kern w:val="0"/>
                <w:szCs w:val="21"/>
              </w:rPr>
              <w:t>（二）部分公开（</w:t>
            </w:r>
            <w:bookmarkStart w:id="1" w:name="_Hlk66973981"/>
            <w:r>
              <w:rPr>
                <w:rFonts w:ascii="Times New Roman" w:hAnsi="Times New Roman" w:eastAsia="黑体" w:cs="Times New Roman"/>
                <w:kern w:val="0"/>
                <w:szCs w:val="21"/>
              </w:rPr>
              <w:t>区分处理的，只计这一情形，不计其他情形</w:t>
            </w:r>
            <w:bookmarkEnd w:id="1"/>
            <w:r>
              <w:rPr>
                <w:rFonts w:ascii="Times New Roman" w:hAnsi="Times New Roman" w:eastAsia="黑体" w:cs="Times New Roman"/>
                <w:kern w:val="0"/>
                <w:szCs w:val="21"/>
              </w:rPr>
              <w:t>）</w:t>
            </w:r>
          </w:p>
        </w:tc>
        <w:tc>
          <w:tcPr>
            <w:tcW w:w="75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3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cs="Times New Roman"/>
                <w:szCs w:val="21"/>
              </w:rPr>
            </w:pPr>
            <w:r>
              <w:rPr>
                <w:rFonts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1.属于国家秘密</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bookmarkStart w:id="2" w:name="_Hlk66974104"/>
            <w:r>
              <w:rPr>
                <w:rFonts w:ascii="Times New Roman" w:hAnsi="Times New Roman" w:eastAsia="仿宋_GB2312" w:cs="Times New Roman"/>
                <w:kern w:val="0"/>
                <w:szCs w:val="21"/>
              </w:rPr>
              <w:t>其他法律行政法规禁止公开</w:t>
            </w:r>
            <w:bookmarkEnd w:id="2"/>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3.危及“三安全一稳定”</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4.</w:t>
            </w:r>
            <w:bookmarkStart w:id="3" w:name="_Hlk66974290"/>
            <w:r>
              <w:rPr>
                <w:rFonts w:ascii="Times New Roman" w:hAnsi="Times New Roman" w:eastAsia="仿宋_GB2312" w:cs="Times New Roman"/>
                <w:kern w:val="0"/>
                <w:szCs w:val="21"/>
              </w:rPr>
              <w:t>保护第三方合法权益</w:t>
            </w:r>
            <w:bookmarkEnd w:id="3"/>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5.属于三类内部事务信息</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6.</w:t>
            </w:r>
            <w:bookmarkStart w:id="4" w:name="_Hlk66974555"/>
            <w:r>
              <w:rPr>
                <w:rFonts w:ascii="Times New Roman" w:hAnsi="Times New Roman" w:eastAsia="仿宋_GB2312" w:cs="Times New Roman"/>
                <w:kern w:val="0"/>
                <w:szCs w:val="21"/>
              </w:rPr>
              <w:t>属于四类过程性信息</w:t>
            </w:r>
            <w:bookmarkEnd w:id="4"/>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7.属于行政执法案卷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8.</w:t>
            </w:r>
            <w:bookmarkStart w:id="5" w:name="_Hlk66975211"/>
            <w:r>
              <w:rPr>
                <w:rFonts w:ascii="Times New Roman" w:hAnsi="Times New Roman" w:eastAsia="仿宋_GB2312" w:cs="Times New Roman"/>
                <w:kern w:val="0"/>
                <w:szCs w:val="21"/>
              </w:rPr>
              <w:t>属于行政查询事项</w:t>
            </w:r>
            <w:bookmarkEnd w:id="5"/>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cs="Times New Roman"/>
                <w:szCs w:val="21"/>
              </w:rPr>
            </w:pPr>
            <w:r>
              <w:rPr>
                <w:rFonts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1.本机关不掌握相关政府信息</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bookmarkStart w:id="6" w:name="_Hlk66975392"/>
            <w:r>
              <w:rPr>
                <w:rFonts w:ascii="Times New Roman" w:hAnsi="Times New Roman" w:eastAsia="仿宋_GB2312" w:cs="Times New Roman"/>
                <w:kern w:val="0"/>
                <w:szCs w:val="21"/>
              </w:rPr>
              <w:t>没有现成信息需要另行制作</w:t>
            </w:r>
            <w:bookmarkEnd w:id="6"/>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3.</w:t>
            </w:r>
            <w:bookmarkStart w:id="7" w:name="_Hlk66975466"/>
            <w:r>
              <w:rPr>
                <w:rFonts w:ascii="Times New Roman" w:hAnsi="Times New Roman" w:eastAsia="仿宋_GB2312" w:cs="Times New Roman"/>
                <w:kern w:val="0"/>
                <w:szCs w:val="21"/>
              </w:rPr>
              <w:t>补正后申请内容仍不明确</w:t>
            </w:r>
            <w:bookmarkEnd w:id="7"/>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cs="Times New Roman"/>
                <w:szCs w:val="21"/>
              </w:rPr>
            </w:pPr>
            <w:r>
              <w:rPr>
                <w:rFonts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w:t>
            </w:r>
            <w:bookmarkStart w:id="8" w:name="_Hlk66975537"/>
            <w:r>
              <w:rPr>
                <w:rFonts w:ascii="Times New Roman" w:hAnsi="Times New Roman" w:eastAsia="仿宋_GB2312" w:cs="Times New Roman"/>
                <w:kern w:val="0"/>
                <w:szCs w:val="21"/>
              </w:rPr>
              <w:t>信访举报投诉类申请</w:t>
            </w:r>
            <w:bookmarkEnd w:id="8"/>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2.重复申请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szCs w:val="21"/>
              </w:rPr>
            </w:pPr>
            <w:r>
              <w:rPr>
                <w:rFonts w:ascii="Times New Roman" w:hAnsi="Times New Roman" w:eastAsia="仿宋_GB2312" w:cs="Times New Roman"/>
                <w:kern w:val="0"/>
                <w:szCs w:val="21"/>
              </w:rPr>
              <w:t>3.要求提供公开出版物</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cs="Times New Roman"/>
                <w:szCs w:val="21"/>
              </w:rPr>
            </w:pPr>
            <w:r>
              <w:rPr>
                <w:rFonts w:ascii="Times New Roman" w:hAnsi="Times New Roman" w:eastAsia="仿宋_GB2312" w:cs="Times New Roman"/>
                <w:kern w:val="0"/>
                <w:szCs w:val="21"/>
              </w:rPr>
              <w:t>4.无正当理由大量反复申请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5.要求行政机关确认或重新</w:t>
            </w:r>
          </w:p>
          <w:p>
            <w:pPr>
              <w:widowControl/>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kern w:val="0"/>
                <w:szCs w:val="21"/>
              </w:rPr>
              <w:t>出具已获取信息</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（六）其他处理</w:t>
            </w:r>
          </w:p>
        </w:tc>
        <w:tc>
          <w:tcPr>
            <w:tcW w:w="2976" w:type="dxa"/>
            <w:shd w:val="clear" w:color="auto" w:fill="auto"/>
            <w:vAlign w:val="center"/>
          </w:tcPr>
          <w:p>
            <w:pPr>
              <w:widowControl/>
              <w:spacing w:line="300" w:lineRule="exact"/>
              <w:rPr>
                <w:rFonts w:ascii="Times New Roman" w:hAnsi="Times New Roman" w:eastAsia="仿宋_GB2312" w:cs="Times New Roman"/>
              </w:rPr>
            </w:pPr>
            <w:r>
              <w:rPr>
                <w:rFonts w:ascii="Times New Roman" w:hAnsi="Times New Roman" w:eastAsia="仿宋_GB2312" w:cs="Times New Roman"/>
              </w:rPr>
              <w:t>1.申请人无正当理由逾期不补正、行政机关不再处理其政府信息公开申请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rPr>
              <w:t>3.其他</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（七）总计</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四、结转下年度继续办理</w:t>
            </w:r>
          </w:p>
        </w:tc>
        <w:tc>
          <w:tcPr>
            <w:tcW w:w="747"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5"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bl>
    <w:p>
      <w:pPr>
        <w:spacing w:line="560" w:lineRule="exact"/>
        <w:rPr>
          <w:rFonts w:ascii="Times New Roman" w:hAnsi="Times New Roman" w:eastAsia="黑体" w:cs="Times New Roman"/>
          <w:b/>
          <w:bCs/>
          <w:sz w:val="32"/>
          <w:szCs w:val="32"/>
        </w:rPr>
      </w:pPr>
      <w:r>
        <w:rPr>
          <w:rFonts w:ascii="Times New Roman" w:hAnsi="Times New Roman" w:eastAsia="黑体" w:cs="Times New Roman"/>
          <w:b/>
          <w:bCs/>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eastAsia="黑体" w:cs="Times New Roman"/>
                <w:b/>
                <w:bCs/>
              </w:rPr>
            </w:pPr>
            <w:r>
              <w:rPr>
                <w:rFonts w:ascii="Times New Roman" w:hAnsi="Times New Roman" w:eastAsia="黑体" w:cs="Times New Roman"/>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eastAsia="黑体" w:cs="Times New Roman"/>
                <w:b/>
                <w:bCs/>
              </w:rPr>
            </w:pPr>
            <w:r>
              <w:rPr>
                <w:rFonts w:ascii="Times New Roman" w:hAnsi="Times New Roman" w:eastAsia="黑体" w:cs="Times New Roman"/>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149" w:leftChars="-71" w:right="-170" w:rightChars="-81"/>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结果</w:t>
            </w:r>
          </w:p>
          <w:p>
            <w:pPr>
              <w:widowControl/>
              <w:spacing w:line="560" w:lineRule="exact"/>
              <w:ind w:left="-149" w:leftChars="-71" w:right="-170" w:rightChars="-81"/>
              <w:jc w:val="center"/>
              <w:rPr>
                <w:rFonts w:ascii="Times New Roman" w:hAnsi="Times New Roman" w:eastAsia="黑体" w:cs="Times New Roman"/>
                <w:b/>
                <w:bCs/>
              </w:rPr>
            </w:pPr>
            <w:r>
              <w:rPr>
                <w:rFonts w:ascii="Times New Roman" w:hAnsi="Times New Roman" w:eastAsia="黑体" w:cs="Times New Roman"/>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43" w:leftChars="-21" w:right="-132" w:rightChars="-63" w:hanging="1"/>
              <w:jc w:val="center"/>
              <w:rPr>
                <w:rFonts w:ascii="Times New Roman" w:hAnsi="Times New Roman" w:eastAsia="黑体" w:cs="Times New Roman"/>
                <w:b/>
                <w:bCs/>
              </w:rPr>
            </w:pPr>
            <w:r>
              <w:rPr>
                <w:rFonts w:ascii="Times New Roman" w:hAnsi="Times New Roman" w:eastAsia="黑体" w:cs="Times New Roman"/>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82" w:leftChars="-39" w:right="-97" w:rightChars="-46"/>
              <w:jc w:val="center"/>
              <w:rPr>
                <w:rFonts w:ascii="Times New Roman" w:hAnsi="Times New Roman" w:eastAsia="黑体" w:cs="Times New Roman"/>
                <w:b/>
                <w:bCs/>
              </w:rPr>
            </w:pPr>
            <w:r>
              <w:rPr>
                <w:rFonts w:ascii="Times New Roman" w:hAnsi="Times New Roman" w:eastAsia="黑体" w:cs="Times New Roman"/>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118" w:leftChars="-56" w:right="-118" w:rightChars="-56"/>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尚未</w:t>
            </w:r>
          </w:p>
          <w:p>
            <w:pPr>
              <w:widowControl/>
              <w:spacing w:line="560" w:lineRule="exact"/>
              <w:ind w:left="-118" w:leftChars="-56" w:right="-118" w:rightChars="-56"/>
              <w:jc w:val="center"/>
              <w:rPr>
                <w:rFonts w:ascii="Times New Roman" w:hAnsi="Times New Roman" w:eastAsia="黑体" w:cs="Times New Roman"/>
                <w:b/>
                <w:bCs/>
              </w:rPr>
            </w:pPr>
            <w:r>
              <w:rPr>
                <w:rFonts w:ascii="Times New Roman" w:hAnsi="Times New Roman" w:eastAsia="黑体" w:cs="Times New Roman"/>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总</w:t>
            </w:r>
          </w:p>
          <w:p>
            <w:pPr>
              <w:widowControl/>
              <w:spacing w:line="560" w:lineRule="exact"/>
              <w:jc w:val="center"/>
              <w:rPr>
                <w:rFonts w:ascii="Times New Roman" w:hAnsi="Times New Roman" w:eastAsia="黑体" w:cs="Times New Roman"/>
                <w:b/>
                <w:bCs/>
              </w:rPr>
            </w:pPr>
            <w:r>
              <w:rPr>
                <w:rFonts w:ascii="Times New Roman" w:hAnsi="Times New Roman" w:eastAsia="黑体" w:cs="Times New Roman"/>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eastAsia="黑体" w:cs="Times New Roman"/>
                <w:b/>
                <w:bCs/>
              </w:rPr>
            </w:pPr>
            <w:r>
              <w:rPr>
                <w:rFonts w:ascii="Times New Roman" w:hAnsi="Times New Roman" w:eastAsia="黑体" w:cs="Times New Roman"/>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eastAsia="黑体" w:cs="Times New Roman"/>
                <w:b/>
                <w:bCs/>
              </w:rPr>
            </w:pPr>
            <w:bookmarkStart w:id="9" w:name="_Hlk67039688"/>
            <w:r>
              <w:rPr>
                <w:rFonts w:ascii="Times New Roman" w:hAnsi="Times New Roman" w:eastAsia="黑体" w:cs="Times New Roman"/>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eastAsia="黑体" w:cs="Times New Roman"/>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eastAsia="黑体" w:cs="Times New Roman"/>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eastAsia="黑体" w:cs="Times New Roman"/>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eastAsia="黑体" w:cs="Times New Roman"/>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Times New Roman" w:hAnsi="Times New Roman" w:eastAsia="黑体" w:cs="Times New Roman"/>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105" w:leftChars="-50" w:right="-126" w:rightChars="-60"/>
              <w:jc w:val="center"/>
              <w:rPr>
                <w:rFonts w:ascii="Times New Roman" w:hAnsi="Times New Roman" w:eastAsia="黑体" w:cs="Times New Roman"/>
                <w:b/>
                <w:bCs/>
              </w:rPr>
            </w:pPr>
            <w:r>
              <w:rPr>
                <w:rFonts w:ascii="Times New Roman" w:hAnsi="Times New Roman" w:eastAsia="黑体" w:cs="Times New Roman"/>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86" w:leftChars="-41" w:right="-88" w:rightChars="-42"/>
              <w:jc w:val="center"/>
              <w:rPr>
                <w:rFonts w:ascii="Times New Roman" w:hAnsi="Times New Roman" w:eastAsia="黑体" w:cs="Times New Roman"/>
                <w:b/>
                <w:bCs/>
              </w:rPr>
            </w:pPr>
            <w:r>
              <w:rPr>
                <w:rFonts w:ascii="Times New Roman" w:hAnsi="Times New Roman" w:eastAsia="黑体" w:cs="Times New Roman"/>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126" w:leftChars="-60" w:right="-136" w:rightChars="-65"/>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其他</w:t>
            </w:r>
          </w:p>
          <w:p>
            <w:pPr>
              <w:widowControl/>
              <w:spacing w:line="560" w:lineRule="exact"/>
              <w:ind w:left="-126" w:leftChars="-60" w:right="-136" w:rightChars="-65"/>
              <w:jc w:val="center"/>
              <w:rPr>
                <w:rFonts w:ascii="Times New Roman" w:hAnsi="Times New Roman" w:eastAsia="黑体" w:cs="Times New Roman"/>
                <w:b/>
                <w:bCs/>
              </w:rPr>
            </w:pPr>
            <w:r>
              <w:rPr>
                <w:rFonts w:ascii="Times New Roman" w:hAnsi="Times New Roman" w:eastAsia="黑体" w:cs="Times New Roman"/>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164" w:leftChars="-78" w:right="-153" w:rightChars="-73"/>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尚未</w:t>
            </w:r>
          </w:p>
          <w:p>
            <w:pPr>
              <w:widowControl/>
              <w:spacing w:line="560" w:lineRule="exact"/>
              <w:ind w:left="-164" w:leftChars="-78" w:right="-153" w:rightChars="-73"/>
              <w:jc w:val="center"/>
              <w:rPr>
                <w:rFonts w:ascii="Times New Roman" w:hAnsi="Times New Roman" w:eastAsia="黑体" w:cs="Times New Roman"/>
                <w:b/>
                <w:bCs/>
              </w:rPr>
            </w:pPr>
            <w:r>
              <w:rPr>
                <w:rFonts w:ascii="Times New Roman" w:hAnsi="Times New Roman" w:eastAsia="黑体" w:cs="Times New Roman"/>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eastAsia="黑体" w:cs="Times New Roman"/>
                <w:b/>
                <w:bCs/>
              </w:rPr>
            </w:pPr>
            <w:r>
              <w:rPr>
                <w:rFonts w:ascii="Times New Roman" w:hAnsi="Times New Roman" w:eastAsia="黑体" w:cs="Times New Roman"/>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99" w:leftChars="-47" w:right="-78" w:rightChars="-37"/>
              <w:jc w:val="center"/>
              <w:rPr>
                <w:rFonts w:ascii="Times New Roman" w:hAnsi="Times New Roman" w:eastAsia="黑体" w:cs="Times New Roman"/>
                <w:b/>
                <w:bCs/>
              </w:rPr>
            </w:pPr>
            <w:r>
              <w:rPr>
                <w:rFonts w:ascii="Times New Roman" w:hAnsi="Times New Roman" w:eastAsia="黑体" w:cs="Times New Roman"/>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136" w:leftChars="-65" w:right="-124" w:rightChars="-59"/>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结果</w:t>
            </w:r>
          </w:p>
          <w:p>
            <w:pPr>
              <w:widowControl/>
              <w:spacing w:line="560" w:lineRule="exact"/>
              <w:ind w:left="-136" w:leftChars="-65" w:right="-124" w:rightChars="-59"/>
              <w:jc w:val="center"/>
              <w:rPr>
                <w:rFonts w:ascii="Times New Roman" w:hAnsi="Times New Roman" w:eastAsia="黑体" w:cs="Times New Roman"/>
                <w:b/>
                <w:bCs/>
              </w:rPr>
            </w:pPr>
            <w:r>
              <w:rPr>
                <w:rFonts w:ascii="Times New Roman" w:hAnsi="Times New Roman" w:eastAsia="黑体" w:cs="Times New Roman"/>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173" w:leftChars="-83" w:right="-134" w:rightChars="-64" w:hanging="1"/>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其他</w:t>
            </w:r>
          </w:p>
          <w:p>
            <w:pPr>
              <w:widowControl/>
              <w:spacing w:line="560" w:lineRule="exact"/>
              <w:ind w:left="-173" w:leftChars="-83" w:right="-134" w:rightChars="-64" w:hanging="1"/>
              <w:jc w:val="center"/>
              <w:rPr>
                <w:rFonts w:ascii="Times New Roman" w:hAnsi="Times New Roman" w:eastAsia="黑体" w:cs="Times New Roman"/>
                <w:b/>
                <w:bCs/>
              </w:rPr>
            </w:pPr>
            <w:r>
              <w:rPr>
                <w:rFonts w:ascii="Times New Roman" w:hAnsi="Times New Roman" w:eastAsia="黑体" w:cs="Times New Roman"/>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ind w:left="-67" w:leftChars="-33" w:right="-105" w:rightChars="-50" w:hanging="2" w:hangingChars="1"/>
              <w:jc w:val="center"/>
              <w:rPr>
                <w:rFonts w:ascii="Times New Roman" w:hAnsi="Times New Roman" w:eastAsia="黑体" w:cs="Times New Roman"/>
                <w:b/>
                <w:bCs/>
              </w:rPr>
            </w:pPr>
            <w:r>
              <w:rPr>
                <w:rFonts w:ascii="Times New Roman" w:hAnsi="Times New Roman" w:eastAsia="黑体" w:cs="Times New Roman"/>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Times New Roman" w:hAnsi="Times New Roman" w:eastAsia="黑体" w:cs="Times New Roman"/>
                <w:b/>
                <w:bCs/>
              </w:rPr>
            </w:pPr>
            <w:r>
              <w:rPr>
                <w:rFonts w:ascii="Times New Roman" w:hAnsi="Times New Roman" w:eastAsia="黑体" w:cs="Times New Roman"/>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560" w:lineRule="exact"/>
              <w:jc w:val="center"/>
              <w:rPr>
                <w:rFonts w:ascii="Times New Roman" w:hAnsi="Times New Roman" w:cs="Times New Roman"/>
                <w:b/>
                <w:bCs/>
              </w:rPr>
            </w:pPr>
            <w:r>
              <w:rPr>
                <w:rFonts w:ascii="Times New Roman" w:hAnsi="Times New Roman" w:cs="Times New Roman"/>
                <w:b/>
                <w:bCs/>
              </w:rPr>
              <w:t>0</w:t>
            </w:r>
          </w:p>
        </w:tc>
      </w:tr>
    </w:tbl>
    <w:p>
      <w:pPr>
        <w:pStyle w:val="4"/>
        <w:widowControl/>
        <w:shd w:val="clear" w:color="auto" w:fill="FFFFFF"/>
        <w:adjustRightInd w:val="0"/>
        <w:snapToGrid w:val="0"/>
        <w:spacing w:beforeAutospacing="0" w:afterAutospacing="0" w:line="570" w:lineRule="exact"/>
        <w:ind w:firstLine="643" w:firstLineChars="200"/>
        <w:jc w:val="both"/>
        <w:rPr>
          <w:rFonts w:ascii="Times New Roman" w:hAnsi="Times New Roman" w:eastAsia="黑体"/>
          <w:b/>
          <w:bCs/>
          <w:kern w:val="2"/>
          <w:sz w:val="32"/>
          <w:szCs w:val="32"/>
        </w:rPr>
      </w:pPr>
      <w:r>
        <w:rPr>
          <w:rFonts w:ascii="Times New Roman" w:hAnsi="Times New Roman" w:eastAsia="黑体"/>
          <w:b/>
          <w:bCs/>
          <w:kern w:val="2"/>
          <w:sz w:val="32"/>
          <w:szCs w:val="32"/>
        </w:rPr>
        <w:t>五、存在的主要问题及改进情况</w:t>
      </w:r>
    </w:p>
    <w:p>
      <w:pPr>
        <w:pStyle w:val="4"/>
        <w:widowControl/>
        <w:shd w:val="clear" w:color="auto" w:fill="FFFFFF"/>
        <w:adjustRightInd w:val="0"/>
        <w:snapToGrid w:val="0"/>
        <w:spacing w:beforeAutospacing="0" w:afterAutospacing="0" w:line="570" w:lineRule="exact"/>
        <w:ind w:firstLine="643" w:firstLineChars="200"/>
        <w:jc w:val="both"/>
        <w:rPr>
          <w:rFonts w:hint="eastAsia" w:ascii="Times New Roman" w:hAnsi="Times New Roman" w:eastAsia="方正仿宋简体"/>
          <w:b/>
          <w:bCs/>
          <w:kern w:val="2"/>
          <w:sz w:val="32"/>
          <w:szCs w:val="32"/>
        </w:rPr>
      </w:pPr>
      <w:r>
        <w:rPr>
          <w:rFonts w:ascii="Times New Roman" w:hAnsi="Times New Roman" w:eastAsia="方正仿宋简体"/>
          <w:b/>
          <w:bCs/>
          <w:kern w:val="2"/>
          <w:sz w:val="32"/>
          <w:szCs w:val="32"/>
        </w:rPr>
        <w:t>2022年，曲阜市投资促进服务中心积极推进政务公开工作，取得了一些成效，但与新形势、新任务、新要求相比，还存在一定的问题，具体表现在：一是信息公开</w:t>
      </w:r>
      <w:r>
        <w:rPr>
          <w:rFonts w:hint="eastAsia" w:ascii="Times New Roman" w:hAnsi="Times New Roman" w:eastAsia="方正仿宋简体"/>
          <w:b/>
          <w:bCs/>
          <w:kern w:val="2"/>
          <w:sz w:val="32"/>
          <w:szCs w:val="32"/>
        </w:rPr>
        <w:t>创新性不强</w:t>
      </w:r>
      <w:r>
        <w:rPr>
          <w:rFonts w:ascii="Times New Roman" w:hAnsi="Times New Roman" w:eastAsia="方正仿宋简体"/>
          <w:b/>
          <w:bCs/>
          <w:kern w:val="2"/>
          <w:sz w:val="32"/>
          <w:szCs w:val="32"/>
        </w:rPr>
        <w:t>，</w:t>
      </w:r>
      <w:r>
        <w:rPr>
          <w:rFonts w:hint="eastAsia" w:ascii="Times New Roman" w:hAnsi="Times New Roman" w:eastAsia="方正仿宋简体"/>
          <w:b/>
          <w:bCs/>
          <w:kern w:val="2"/>
          <w:sz w:val="32"/>
          <w:szCs w:val="32"/>
        </w:rPr>
        <w:t>信息内容缺乏创新性</w:t>
      </w:r>
      <w:r>
        <w:rPr>
          <w:rFonts w:ascii="Times New Roman" w:hAnsi="Times New Roman" w:eastAsia="方正仿宋简体"/>
          <w:b/>
          <w:bCs/>
          <w:kern w:val="2"/>
          <w:sz w:val="32"/>
          <w:szCs w:val="32"/>
        </w:rPr>
        <w:t>，解读</w:t>
      </w:r>
      <w:r>
        <w:rPr>
          <w:rFonts w:hint="eastAsia" w:ascii="Times New Roman" w:hAnsi="Times New Roman" w:eastAsia="方正仿宋简体"/>
          <w:b/>
          <w:bCs/>
          <w:kern w:val="2"/>
          <w:sz w:val="32"/>
          <w:szCs w:val="32"/>
        </w:rPr>
        <w:t>、图解类信息发布的较少</w:t>
      </w:r>
      <w:r>
        <w:rPr>
          <w:rFonts w:ascii="Times New Roman" w:hAnsi="Times New Roman" w:eastAsia="方正仿宋简体"/>
          <w:b/>
          <w:bCs/>
          <w:kern w:val="2"/>
          <w:sz w:val="32"/>
          <w:szCs w:val="32"/>
        </w:rPr>
        <w:t>。二是信息公开队伍建设需加强，信息公开培训的力度不够，从事信息公开的人员业务素质有待进一步提高。</w:t>
      </w:r>
    </w:p>
    <w:p>
      <w:pPr>
        <w:pStyle w:val="4"/>
        <w:widowControl/>
        <w:shd w:val="clear" w:color="auto" w:fill="FFFFFF"/>
        <w:adjustRightInd w:val="0"/>
        <w:snapToGrid w:val="0"/>
        <w:spacing w:beforeAutospacing="0" w:afterAutospacing="0" w:line="570" w:lineRule="exact"/>
        <w:ind w:firstLine="643" w:firstLineChars="200"/>
        <w:jc w:val="both"/>
        <w:rPr>
          <w:rFonts w:hint="eastAsia" w:ascii="Times New Roman" w:hAnsi="Times New Roman" w:eastAsia="方正仿宋简体"/>
          <w:b/>
          <w:bCs/>
          <w:kern w:val="2"/>
          <w:sz w:val="32"/>
          <w:szCs w:val="32"/>
        </w:rPr>
      </w:pPr>
      <w:r>
        <w:rPr>
          <w:rFonts w:ascii="Times New Roman" w:hAnsi="Times New Roman" w:eastAsia="方正仿宋简体"/>
          <w:b/>
          <w:bCs/>
          <w:kern w:val="2"/>
          <w:sz w:val="32"/>
          <w:szCs w:val="32"/>
        </w:rPr>
        <w:t>下一步，我们将针对不足和短板认真加以整改，加强政务公开工作培训和锻炼</w:t>
      </w:r>
      <w:r>
        <w:rPr>
          <w:rFonts w:hint="eastAsia" w:ascii="Times New Roman" w:hAnsi="Times New Roman" w:eastAsia="方正仿宋简体"/>
          <w:b/>
          <w:bCs/>
          <w:kern w:val="2"/>
          <w:sz w:val="32"/>
          <w:szCs w:val="32"/>
        </w:rPr>
        <w:t>，</w:t>
      </w:r>
      <w:r>
        <w:rPr>
          <w:rFonts w:ascii="Times New Roman" w:hAnsi="Times New Roman" w:eastAsia="方正仿宋简体"/>
          <w:b/>
          <w:bCs/>
          <w:kern w:val="2"/>
          <w:sz w:val="32"/>
          <w:szCs w:val="32"/>
        </w:rPr>
        <w:t>强化政务公开提升措施，</w:t>
      </w:r>
      <w:r>
        <w:rPr>
          <w:rFonts w:hint="eastAsia" w:ascii="Times New Roman" w:hAnsi="Times New Roman" w:eastAsia="方正仿宋简体"/>
          <w:b/>
          <w:bCs/>
          <w:kern w:val="2"/>
          <w:sz w:val="32"/>
          <w:szCs w:val="32"/>
        </w:rPr>
        <w:t>切实提高</w:t>
      </w:r>
      <w:r>
        <w:rPr>
          <w:rFonts w:ascii="Times New Roman" w:hAnsi="Times New Roman" w:eastAsia="方正仿宋简体"/>
          <w:b/>
          <w:bCs/>
          <w:kern w:val="2"/>
          <w:sz w:val="32"/>
          <w:szCs w:val="32"/>
        </w:rPr>
        <w:t>政务公开工作</w:t>
      </w:r>
      <w:r>
        <w:rPr>
          <w:rFonts w:hint="eastAsia" w:ascii="Times New Roman" w:hAnsi="Times New Roman" w:eastAsia="方正仿宋简体"/>
          <w:b/>
          <w:bCs/>
          <w:kern w:val="2"/>
          <w:sz w:val="32"/>
          <w:szCs w:val="32"/>
        </w:rPr>
        <w:t>水平。</w:t>
      </w:r>
    </w:p>
    <w:p>
      <w:pPr>
        <w:pStyle w:val="4"/>
        <w:widowControl/>
        <w:shd w:val="clear" w:color="auto" w:fill="FFFFFF"/>
        <w:adjustRightInd w:val="0"/>
        <w:snapToGrid w:val="0"/>
        <w:spacing w:beforeAutospacing="0" w:afterAutospacing="0" w:line="570" w:lineRule="exact"/>
        <w:ind w:firstLine="643" w:firstLineChars="200"/>
        <w:jc w:val="both"/>
        <w:rPr>
          <w:rFonts w:hint="eastAsia" w:ascii="Times New Roman" w:hAnsi="Times New Roman" w:eastAsia="方正仿宋简体"/>
          <w:b/>
          <w:bCs/>
          <w:kern w:val="2"/>
          <w:sz w:val="32"/>
          <w:szCs w:val="32"/>
        </w:rPr>
      </w:pPr>
      <w:r>
        <w:rPr>
          <w:rFonts w:ascii="Times New Roman" w:hAnsi="Times New Roman" w:eastAsia="方正仿宋简体"/>
          <w:b/>
          <w:bCs/>
          <w:kern w:val="2"/>
          <w:sz w:val="32"/>
          <w:szCs w:val="32"/>
        </w:rPr>
        <w:t>一是进一步提升政务公开的数量和质量，及时发布最新的政务公开信息，</w:t>
      </w:r>
      <w:r>
        <w:rPr>
          <w:rFonts w:hint="eastAsia" w:ascii="Times New Roman" w:hAnsi="Times New Roman" w:eastAsia="方正仿宋简体"/>
          <w:b/>
          <w:bCs/>
          <w:kern w:val="2"/>
          <w:sz w:val="32"/>
          <w:szCs w:val="32"/>
        </w:rPr>
        <w:t>通过网站和政务新媒体发布的信息，在准确及时的前提下，可利用图片、视频等方式，积极提升招商信息的影响力和吸引力，</w:t>
      </w:r>
      <w:r>
        <w:rPr>
          <w:rFonts w:ascii="Times New Roman" w:hAnsi="Times New Roman" w:eastAsia="方正仿宋简体"/>
          <w:b/>
          <w:bCs/>
          <w:kern w:val="2"/>
          <w:sz w:val="32"/>
          <w:szCs w:val="32"/>
        </w:rPr>
        <w:t>不断增强招商信息公开实效。</w:t>
      </w:r>
    </w:p>
    <w:p>
      <w:pPr>
        <w:pStyle w:val="4"/>
        <w:widowControl/>
        <w:shd w:val="clear" w:color="auto" w:fill="FFFFFF"/>
        <w:adjustRightInd w:val="0"/>
        <w:snapToGrid w:val="0"/>
        <w:spacing w:beforeAutospacing="0" w:afterAutospacing="0" w:line="570" w:lineRule="exact"/>
        <w:ind w:firstLine="643" w:firstLineChars="200"/>
        <w:jc w:val="both"/>
        <w:rPr>
          <w:rFonts w:hint="eastAsia" w:ascii="Times New Roman" w:hAnsi="Times New Roman" w:eastAsia="方正仿宋简体"/>
          <w:b/>
          <w:bCs/>
          <w:kern w:val="2"/>
          <w:sz w:val="32"/>
          <w:szCs w:val="32"/>
        </w:rPr>
      </w:pPr>
      <w:r>
        <w:rPr>
          <w:rFonts w:ascii="Times New Roman" w:hAnsi="Times New Roman" w:eastAsia="方正仿宋简体"/>
          <w:b/>
          <w:bCs/>
          <w:kern w:val="2"/>
          <w:sz w:val="32"/>
          <w:szCs w:val="32"/>
        </w:rPr>
        <w:t>二是加大政务公开学习培训力度，提升</w:t>
      </w:r>
      <w:r>
        <w:rPr>
          <w:rFonts w:hint="eastAsia" w:ascii="Times New Roman" w:hAnsi="Times New Roman" w:eastAsia="方正仿宋简体"/>
          <w:b/>
          <w:bCs/>
          <w:kern w:val="2"/>
          <w:sz w:val="32"/>
          <w:szCs w:val="32"/>
        </w:rPr>
        <w:t>工作人员的政务信息公开业务能力</w:t>
      </w:r>
      <w:r>
        <w:rPr>
          <w:rFonts w:ascii="Times New Roman" w:hAnsi="Times New Roman" w:eastAsia="方正仿宋简体"/>
          <w:b/>
          <w:bCs/>
          <w:kern w:val="2"/>
          <w:sz w:val="32"/>
          <w:szCs w:val="32"/>
        </w:rPr>
        <w:t>和水平，</w:t>
      </w:r>
      <w:r>
        <w:rPr>
          <w:rFonts w:hint="eastAsia" w:ascii="Times New Roman" w:hAnsi="Times New Roman" w:eastAsia="方正仿宋简体"/>
          <w:b/>
          <w:bCs/>
          <w:kern w:val="2"/>
          <w:sz w:val="32"/>
          <w:szCs w:val="32"/>
        </w:rPr>
        <w:t>创新政务公开新方式，规范高效发布招商引资信息，推进政务公开工作再上新台阶。</w:t>
      </w:r>
    </w:p>
    <w:p>
      <w:pPr>
        <w:pStyle w:val="4"/>
        <w:widowControl/>
        <w:shd w:val="clear" w:color="auto" w:fill="FFFFFF"/>
        <w:adjustRightInd w:val="0"/>
        <w:snapToGrid w:val="0"/>
        <w:spacing w:beforeAutospacing="0" w:afterAutospacing="0" w:line="570" w:lineRule="exact"/>
        <w:ind w:firstLine="643" w:firstLineChars="200"/>
        <w:jc w:val="both"/>
        <w:rPr>
          <w:rFonts w:ascii="Times New Roman" w:hAnsi="Times New Roman" w:eastAsia="方正仿宋简体"/>
          <w:b/>
          <w:bCs/>
          <w:kern w:val="2"/>
          <w:sz w:val="32"/>
          <w:szCs w:val="32"/>
        </w:rPr>
      </w:pPr>
    </w:p>
    <w:p>
      <w:pPr>
        <w:pStyle w:val="4"/>
        <w:widowControl/>
        <w:shd w:val="clear" w:color="auto" w:fill="FFFFFF"/>
        <w:adjustRightInd w:val="0"/>
        <w:snapToGrid w:val="0"/>
        <w:spacing w:beforeAutospacing="0" w:afterAutospacing="0" w:line="570" w:lineRule="exact"/>
        <w:ind w:firstLine="643" w:firstLineChars="200"/>
        <w:jc w:val="both"/>
        <w:rPr>
          <w:rFonts w:ascii="Times New Roman" w:hAnsi="Times New Roman" w:eastAsia="黑体"/>
          <w:b/>
          <w:bCs/>
          <w:kern w:val="2"/>
          <w:sz w:val="32"/>
          <w:szCs w:val="32"/>
        </w:rPr>
      </w:pPr>
      <w:r>
        <w:rPr>
          <w:rFonts w:ascii="Times New Roman" w:hAnsi="Times New Roman" w:eastAsia="黑体"/>
          <w:b/>
          <w:bCs/>
          <w:kern w:val="2"/>
          <w:sz w:val="32"/>
          <w:szCs w:val="32"/>
        </w:rPr>
        <w:t>六、其他需要报告的事项</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（一）依据《政府信息公开信息处理费管理办法》收取信息处理费的情况</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仿宋简体" w:cs="Times New Roman"/>
          <w:b/>
          <w:bCs/>
          <w:sz w:val="32"/>
          <w:szCs w:val="32"/>
        </w:rPr>
        <w:t>根据《政府信息公开信息处理费管理办法》规定，本年度本单位依申请公开政府信息未向申请人收取任何费用。</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（二）本行政机关落实上级年度政务公开工作要点情况</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曲阜市投资促进服务中心认真贯彻落实本年度政务公开工作要点，对照市政府下发的《2022年曲阜市政务公开工作任务分解表的通知》，及时部署、明确重点、细化分工，聚焦财政预决算、规划计划、2022年重点任务承诺事项公开等重点事项，持续推进公开制度化、规范化、日常化。</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（三）本行政机关人大代表建议和政协提案办理结果公开情况</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本年度未收到曲阜市人大代表建议和政协提案。</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（四）本行政机本年度政务公开工作创新情况</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本年度无政务公开工作创新情况。</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（五）本行政机关政府信息公开工作年度报告数据统计需要说明的事项</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本年度</w:t>
      </w:r>
      <w:r>
        <w:rPr>
          <w:rFonts w:ascii="Times New Roman" w:hAnsi="Times New Roman" w:eastAsia="方正仿宋简体" w:cs="Times New Roman"/>
          <w:b/>
          <w:bCs/>
          <w:sz w:val="32"/>
          <w:szCs w:val="32"/>
        </w:rPr>
        <w:t>无需要说明的数据统计事项。</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（六）本行政机关认为需要报告的其他事项</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本年度无需要报告的其他事项。</w:t>
      </w:r>
    </w:p>
    <w:p>
      <w:pPr>
        <w:adjustRightInd w:val="0"/>
        <w:snapToGrid w:val="0"/>
        <w:spacing w:line="570" w:lineRule="exact"/>
        <w:ind w:firstLine="643"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（七）其他有关文件专门要求通过政府信息公开工作年度报告予以报告的事项</w:t>
      </w:r>
    </w:p>
    <w:p>
      <w:pPr>
        <w:adjustRightInd w:val="0"/>
        <w:snapToGrid w:val="0"/>
        <w:spacing w:line="57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无。</w:t>
      </w:r>
    </w:p>
    <w:sectPr>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decorative"/>
    <w:pitch w:val="default"/>
    <w:sig w:usb0="00000000" w:usb1="00000000" w:usb2="0000000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420" w:rightChars="2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ind w:right="420" w:rightChars="2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YjBjZWNkMDQ1ZTgxYWQ3YTlmNGVlMzI1NDFkZTcifQ=="/>
  </w:docVars>
  <w:rsids>
    <w:rsidRoot w:val="17D60763"/>
    <w:rsid w:val="00010049"/>
    <w:rsid w:val="001B307B"/>
    <w:rsid w:val="00267C5F"/>
    <w:rsid w:val="003851C3"/>
    <w:rsid w:val="003D4250"/>
    <w:rsid w:val="0046197D"/>
    <w:rsid w:val="005016E7"/>
    <w:rsid w:val="00537D63"/>
    <w:rsid w:val="00564A21"/>
    <w:rsid w:val="006D4176"/>
    <w:rsid w:val="00706CAB"/>
    <w:rsid w:val="008078FE"/>
    <w:rsid w:val="008D3B5B"/>
    <w:rsid w:val="00952F3C"/>
    <w:rsid w:val="00AC69CB"/>
    <w:rsid w:val="00AD09A5"/>
    <w:rsid w:val="00B34F6E"/>
    <w:rsid w:val="00C01138"/>
    <w:rsid w:val="00C56B96"/>
    <w:rsid w:val="00C86C26"/>
    <w:rsid w:val="00E5280E"/>
    <w:rsid w:val="00F8727A"/>
    <w:rsid w:val="0DAC396F"/>
    <w:rsid w:val="0E25163A"/>
    <w:rsid w:val="17D60763"/>
    <w:rsid w:val="1FF02957"/>
    <w:rsid w:val="223E67A6"/>
    <w:rsid w:val="23673468"/>
    <w:rsid w:val="270F7859"/>
    <w:rsid w:val="3A2A1737"/>
    <w:rsid w:val="3E7E693A"/>
    <w:rsid w:val="43B877E5"/>
    <w:rsid w:val="479510FE"/>
    <w:rsid w:val="4AF0410F"/>
    <w:rsid w:val="554A7B72"/>
    <w:rsid w:val="60934F06"/>
    <w:rsid w:val="712E191E"/>
    <w:rsid w:val="764B63A2"/>
    <w:rsid w:val="781E71C5"/>
    <w:rsid w:val="7BE5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qFormat/>
    <w:uiPriority w:val="0"/>
    <w:pPr>
      <w:widowControl w:val="0"/>
      <w:spacing w:beforeAutospacing="1" w:afterAutospacing="1"/>
    </w:pPr>
    <w:rPr>
      <w:rFonts w:cs="Times New Roman" w:asciiTheme="minorHAnsi" w:hAnsiTheme="minorHAnsi" w:eastAsiaTheme="minorEastAsia"/>
      <w:sz w:val="24"/>
      <w:szCs w:val="22"/>
      <w:lang w:val="en-US" w:eastAsia="zh-CN" w:bidi="ar-SA"/>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9428090832632"/>
          <c:y val="0.204743083003953"/>
          <c:w val="0.903010933557611"/>
          <c:h val="0.551884057971014"/>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Lbl>
              <c:idx val="0"/>
              <c:layout>
                <c:manualLayout>
                  <c:x val="-0.00252312867956266"/>
                  <c:y val="0"/>
                </c:manualLayout>
              </c:layout>
              <c:tx>
                <c:rich>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mn-lt"/>
                        <a:ea typeface="+mn-ea"/>
                        <a:cs typeface="+mn-cs"/>
                      </a:defRPr>
                    </a:pPr>
                    <a:r>
                      <a:rPr lang="en-US" altLang="zh-CN" sz="1200" b="1">
                        <a:latin typeface="宋体" panose="02010600030101010101" charset="-122"/>
                        <a:ea typeface="宋体" panose="02010600030101010101" charset="-122"/>
                      </a:rPr>
                      <a:t>2%</a:t>
                    </a:r>
                    <a:endParaRPr lang="en-US" altLang="zh-CN" sz="1200" b="1">
                      <a:latin typeface="宋体" panose="02010600030101010101" charset="-122"/>
                      <a:ea typeface="宋体" panose="0201060003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门户网站</c:v>
                </c:pt>
                <c:pt idx="1">
                  <c:v>网站子点</c:v>
                </c:pt>
                <c:pt idx="2">
                  <c:v>微信</c:v>
                </c:pt>
              </c:strCache>
            </c:strRef>
          </c:cat>
          <c:val>
            <c:numRef>
              <c:f>Sheet1!$B$2:$B$4</c:f>
              <c:numCache>
                <c:formatCode>0%</c:formatCode>
                <c:ptCount val="3"/>
                <c:pt idx="0">
                  <c:v>0.02</c:v>
                </c:pt>
              </c:numCache>
            </c:numRef>
          </c:val>
        </c:ser>
        <c:ser>
          <c:idx val="1"/>
          <c:order val="1"/>
          <c:tx>
            <c:strRef>
              <c:f>Sheet1!$C$1</c:f>
              <c:strCache>
                <c:ptCount val="1"/>
                <c:pt idx="0">
                  <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mn-lt"/>
                        <a:ea typeface="+mn-ea"/>
                        <a:cs typeface="+mn-cs"/>
                      </a:defRPr>
                    </a:pPr>
                    <a:r>
                      <a:rPr lang="en-US" altLang="zh-CN" sz="1200" b="1">
                        <a:latin typeface="宋体" panose="02010600030101010101" charset="-122"/>
                        <a:ea typeface="宋体" panose="02010600030101010101" charset="-122"/>
                      </a:rPr>
                      <a:t>53%</a:t>
                    </a:r>
                    <a:endParaRPr lang="en-US" altLang="zh-CN" sz="1200" b="1">
                      <a:latin typeface="宋体" panose="02010600030101010101" charset="-122"/>
                      <a:ea typeface="宋体" panose="02010600030101010101" charset="-122"/>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门户网站</c:v>
                </c:pt>
                <c:pt idx="1">
                  <c:v>网站子点</c:v>
                </c:pt>
                <c:pt idx="2">
                  <c:v>微信</c:v>
                </c:pt>
              </c:strCache>
            </c:strRef>
          </c:cat>
          <c:val>
            <c:numRef>
              <c:f>Sheet1!$C$2:$C$4</c:f>
              <c:numCache>
                <c:formatCode>General</c:formatCode>
                <c:ptCount val="3"/>
                <c:pt idx="1" c:formatCode="0%">
                  <c:v>0.53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门户网站</c:v>
                </c:pt>
                <c:pt idx="1">
                  <c:v>网站子点</c:v>
                </c:pt>
                <c:pt idx="2">
                  <c:v>微信</c:v>
                </c:pt>
              </c:strCache>
            </c:strRef>
          </c:cat>
          <c:val>
            <c:numRef>
              <c:f>Sheet1!$D$2:$D$4</c:f>
              <c:numCache>
                <c:formatCode>General</c:formatCode>
                <c:ptCount val="3"/>
                <c:pt idx="2" c:formatCode="0%">
                  <c:v>0.45</c:v>
                </c:pt>
              </c:numCache>
            </c:numRef>
          </c:val>
        </c:ser>
        <c:dLbls>
          <c:showLegendKey val="0"/>
          <c:showVal val="1"/>
          <c:showCatName val="0"/>
          <c:showSerName val="0"/>
          <c:showPercent val="0"/>
          <c:showBubbleSize val="0"/>
        </c:dLbls>
        <c:gapWidth val="219"/>
        <c:overlap val="-27"/>
        <c:axId val="374008832"/>
        <c:axId val="450279296"/>
      </c:barChart>
      <c:catAx>
        <c:axId val="3740088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450279296"/>
        <c:crosses val="autoZero"/>
        <c:auto val="1"/>
        <c:lblAlgn val="ctr"/>
        <c:lblOffset val="100"/>
        <c:noMultiLvlLbl val="0"/>
      </c:catAx>
      <c:valAx>
        <c:axId val="4502792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374008832"/>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prstDash val="solid"/>
      <a:round/>
    </a:ln>
    <a:effectLst/>
  </c:spPr>
  <c:txPr>
    <a:bodyPr/>
    <a:lstStyle/>
    <a:p>
      <a:pPr>
        <a:defRPr lang="zh-CN" sz="1200" b="1"/>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3028</Words>
  <Characters>3126</Characters>
  <Lines>26</Lines>
  <Paragraphs>7</Paragraphs>
  <TotalTime>213</TotalTime>
  <ScaleCrop>false</ScaleCrop>
  <LinksUpToDate>false</LinksUpToDate>
  <CharactersWithSpaces>3133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2023-01-17T02:24:00Z</dcterms:created>
  <dc:creator>ght</dc:creator>
  <cp:lastModifiedBy>ght</cp:lastModifiedBy>
  <dcterms:modified xsi:type="dcterms:W3CDTF">2023-02-03T06:08:37Z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5C0811F4922446A78561D9713A40255F</vt:lpwstr>
  </property>
</Properties>
</file>