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宋体" w:hAnsi="宋体" w:eastAsia="宋体" w:cs="宋体"/>
          <w:i w:val="0"/>
          <w:caps w:val="0"/>
          <w:color w:val="333333"/>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t>曲阜市市场监督管理局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pPr>
      <w:r>
        <w:rPr>
          <w:rFonts w:hint="default" w:ascii="方正小标宋简体" w:hAnsi="方正小标宋简体" w:eastAsia="方正小标宋简体" w:cs="方正小标宋简体"/>
          <w:b w:val="0"/>
          <w:bCs/>
          <w:i w:val="0"/>
          <w:caps w:val="0"/>
          <w:color w:val="333333"/>
          <w:spacing w:val="0"/>
          <w:sz w:val="44"/>
          <w:szCs w:val="44"/>
          <w:shd w:val="clear" w:fill="FFFFFF"/>
          <w:lang w:val="en-US" w:eastAsia="zh-CN"/>
        </w:rPr>
        <w:t>202</w:t>
      </w:r>
      <w:r>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t>2年政府信息公开年度报告</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6"/>
        <w:jc w:val="center"/>
        <w:textAlignment w:val="auto"/>
        <w:rPr>
          <w:rStyle w:val="8"/>
          <w:rFonts w:hint="default" w:ascii="方正小标宋简体" w:hAnsi="方正小标宋简体" w:eastAsia="方正小标宋简体" w:cs="方正小标宋简体"/>
          <w:i w:val="0"/>
          <w:iCs w:val="0"/>
          <w:caps w:val="0"/>
          <w:color w:val="000000"/>
          <w:spacing w:val="0"/>
          <w:sz w:val="43"/>
          <w:szCs w:val="43"/>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Style w:val="8"/>
          <w:rFonts w:hint="default" w:ascii="方正仿宋简体" w:hAnsi="方正仿宋简体" w:eastAsia="方正仿宋简体" w:cs="方正仿宋简体"/>
          <w:i w:val="0"/>
          <w:iCs w:val="0"/>
          <w:caps w:val="0"/>
          <w:color w:val="000000"/>
          <w:spacing w:val="0"/>
          <w:sz w:val="31"/>
          <w:szCs w:val="31"/>
          <w:shd w:val="clear" w:fill="FFFFFF"/>
        </w:rPr>
      </w:pPr>
      <w:r>
        <w:rPr>
          <w:rStyle w:val="8"/>
          <w:rFonts w:hint="default" w:ascii="方正仿宋简体" w:hAnsi="方正仿宋简体" w:eastAsia="方正仿宋简体" w:cs="方正仿宋简体"/>
          <w:i w:val="0"/>
          <w:iCs w:val="0"/>
          <w:caps w:val="0"/>
          <w:color w:val="000000"/>
          <w:spacing w:val="0"/>
          <w:sz w:val="31"/>
          <w:szCs w:val="31"/>
          <w:shd w:val="clear" w:fill="FFFFFF"/>
        </w:rPr>
        <w:t>本报告由曲阜市</w:t>
      </w:r>
      <w:r>
        <w:rPr>
          <w:rStyle w:val="8"/>
          <w:rFonts w:hint="eastAsia" w:ascii="方正仿宋简体" w:hAnsi="方正仿宋简体" w:eastAsia="方正仿宋简体" w:cs="方正仿宋简体"/>
          <w:i w:val="0"/>
          <w:iCs w:val="0"/>
          <w:caps w:val="0"/>
          <w:color w:val="000000"/>
          <w:spacing w:val="0"/>
          <w:sz w:val="31"/>
          <w:szCs w:val="31"/>
          <w:shd w:val="clear" w:fill="FFFFFF"/>
          <w:lang w:eastAsia="zh-CN"/>
        </w:rPr>
        <w:t>市场监督管理局</w:t>
      </w:r>
      <w:r>
        <w:rPr>
          <w:rStyle w:val="8"/>
          <w:rFonts w:hint="default" w:ascii="方正仿宋简体" w:hAnsi="方正仿宋简体" w:eastAsia="方正仿宋简体" w:cs="方正仿宋简体"/>
          <w:i w:val="0"/>
          <w:iCs w:val="0"/>
          <w:caps w:val="0"/>
          <w:color w:val="000000"/>
          <w:spacing w:val="0"/>
          <w:sz w:val="31"/>
          <w:szCs w:val="31"/>
          <w:shd w:val="clear" w:fill="FFFFFF"/>
        </w:rPr>
        <w:t>按照《中华人民共和国政府信息公开条例》（以下简称《条例》）和《中华人民共和国政府信息公开工作年度报告格式》（国办公开办函〔2021〕30号）要求编制。</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Style w:val="8"/>
          <w:rFonts w:hint="default" w:ascii="方正仿宋简体" w:hAnsi="方正仿宋简体" w:eastAsia="方正仿宋简体" w:cs="方正仿宋简体"/>
          <w:i w:val="0"/>
          <w:iCs w:val="0"/>
          <w:caps w:val="0"/>
          <w:color w:val="000000"/>
          <w:spacing w:val="0"/>
          <w:sz w:val="31"/>
          <w:szCs w:val="31"/>
          <w:shd w:val="clear" w:fill="FFFFFF"/>
        </w:rPr>
      </w:pPr>
      <w:r>
        <w:rPr>
          <w:rStyle w:val="8"/>
          <w:rFonts w:hint="default" w:ascii="方正仿宋简体" w:hAnsi="方正仿宋简体" w:eastAsia="方正仿宋简体" w:cs="方正仿宋简体"/>
          <w:i w:val="0"/>
          <w:iCs w:val="0"/>
          <w:caps w:val="0"/>
          <w:color w:val="000000"/>
          <w:spacing w:val="0"/>
          <w:sz w:val="31"/>
          <w:szCs w:val="31"/>
          <w:shd w:val="clear" w:fill="FFFFFF"/>
        </w:rPr>
        <w:t>本报告内容包括总体情况、主动公开政府信息情况、收到和处理政府信息公开申请情况、政府信息公开行政复议和行政诉讼情况、存在的主要问题及改进情况、其他需要报告的事项等六部分内容。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Style w:val="8"/>
          <w:rFonts w:hint="default" w:ascii="方正仿宋简体" w:hAnsi="方正仿宋简体" w:eastAsia="方正仿宋简体" w:cs="方正仿宋简体"/>
          <w:i w:val="0"/>
          <w:iCs w:val="0"/>
          <w:caps w:val="0"/>
          <w:color w:val="000000"/>
          <w:spacing w:val="0"/>
          <w:sz w:val="31"/>
          <w:szCs w:val="31"/>
          <w:shd w:val="clear" w:fill="FFFFFF"/>
        </w:rPr>
      </w:pPr>
      <w:r>
        <w:rPr>
          <w:rStyle w:val="8"/>
          <w:rFonts w:hint="default" w:ascii="方正仿宋简体" w:hAnsi="方正仿宋简体" w:eastAsia="方正仿宋简体" w:cs="方正仿宋简体"/>
          <w:i w:val="0"/>
          <w:iCs w:val="0"/>
          <w:caps w:val="0"/>
          <w:color w:val="000000"/>
          <w:spacing w:val="0"/>
          <w:sz w:val="31"/>
          <w:szCs w:val="31"/>
          <w:shd w:val="clear" w:fill="FFFFFF"/>
        </w:rPr>
        <w:t>本报告所列数据的统计期限自2022年1月1日起至2022年12月31日止。本报告电子版可在“中国·曲阜”政府门户网站（www.qufu.gov.vn）查阅或下载。如对本报告有疑问，请与曲阜市</w:t>
      </w:r>
      <w:r>
        <w:rPr>
          <w:rStyle w:val="8"/>
          <w:rFonts w:hint="eastAsia" w:ascii="方正仿宋简体" w:hAnsi="方正仿宋简体" w:eastAsia="方正仿宋简体" w:cs="方正仿宋简体"/>
          <w:i w:val="0"/>
          <w:iCs w:val="0"/>
          <w:caps w:val="0"/>
          <w:color w:val="000000"/>
          <w:spacing w:val="0"/>
          <w:sz w:val="31"/>
          <w:szCs w:val="31"/>
          <w:shd w:val="clear" w:fill="FFFFFF"/>
          <w:lang w:eastAsia="zh-CN"/>
        </w:rPr>
        <w:t>市场监督管理局</w:t>
      </w:r>
      <w:r>
        <w:rPr>
          <w:rStyle w:val="8"/>
          <w:rFonts w:hint="default" w:ascii="方正仿宋简体" w:hAnsi="方正仿宋简体" w:eastAsia="方正仿宋简体" w:cs="方正仿宋简体"/>
          <w:i w:val="0"/>
          <w:iCs w:val="0"/>
          <w:caps w:val="0"/>
          <w:color w:val="000000"/>
          <w:spacing w:val="0"/>
          <w:sz w:val="31"/>
          <w:szCs w:val="31"/>
          <w:shd w:val="clear" w:fill="FFFFFF"/>
        </w:rPr>
        <w:t>办公室联系（地址：山东省曲阜市</w:t>
      </w:r>
      <w:r>
        <w:rPr>
          <w:rStyle w:val="8"/>
          <w:rFonts w:hint="eastAsia" w:ascii="方正仿宋简体" w:hAnsi="方正仿宋简体" w:eastAsia="方正仿宋简体" w:cs="方正仿宋简体"/>
          <w:i w:val="0"/>
          <w:iCs w:val="0"/>
          <w:caps w:val="0"/>
          <w:color w:val="000000"/>
          <w:spacing w:val="0"/>
          <w:sz w:val="31"/>
          <w:szCs w:val="31"/>
          <w:shd w:val="clear" w:fill="FFFFFF"/>
          <w:lang w:eastAsia="zh-CN"/>
        </w:rPr>
        <w:t>大成路曲阜市为民服务中心</w:t>
      </w:r>
      <w:r>
        <w:rPr>
          <w:rStyle w:val="8"/>
          <w:rFonts w:hint="eastAsia" w:ascii="方正仿宋简体" w:hAnsi="方正仿宋简体" w:eastAsia="方正仿宋简体" w:cs="方正仿宋简体"/>
          <w:i w:val="0"/>
          <w:iCs w:val="0"/>
          <w:caps w:val="0"/>
          <w:color w:val="000000"/>
          <w:spacing w:val="0"/>
          <w:sz w:val="31"/>
          <w:szCs w:val="31"/>
          <w:shd w:val="clear" w:fill="FFFFFF"/>
          <w:lang w:val="en-US" w:eastAsia="zh-CN"/>
        </w:rPr>
        <w:t>5楼</w:t>
      </w:r>
      <w:r>
        <w:rPr>
          <w:rStyle w:val="8"/>
          <w:rFonts w:hint="default" w:ascii="方正仿宋简体" w:hAnsi="方正仿宋简体" w:eastAsia="方正仿宋简体" w:cs="方正仿宋简体"/>
          <w:i w:val="0"/>
          <w:iCs w:val="0"/>
          <w:caps w:val="0"/>
          <w:color w:val="000000"/>
          <w:spacing w:val="0"/>
          <w:sz w:val="31"/>
          <w:szCs w:val="31"/>
          <w:shd w:val="clear" w:fill="FFFFFF"/>
        </w:rPr>
        <w:t>，联系电话：0537-</w:t>
      </w:r>
      <w:r>
        <w:rPr>
          <w:rStyle w:val="8"/>
          <w:rFonts w:hint="eastAsia" w:ascii="方正仿宋简体" w:hAnsi="方正仿宋简体" w:eastAsia="方正仿宋简体" w:cs="方正仿宋简体"/>
          <w:i w:val="0"/>
          <w:iCs w:val="0"/>
          <w:caps w:val="0"/>
          <w:color w:val="000000"/>
          <w:spacing w:val="0"/>
          <w:sz w:val="31"/>
          <w:szCs w:val="31"/>
          <w:shd w:val="clear" w:fill="FFFFFF"/>
          <w:lang w:val="en-US" w:eastAsia="zh-CN"/>
        </w:rPr>
        <w:t>6509009</w:t>
      </w:r>
      <w:r>
        <w:rPr>
          <w:rStyle w:val="8"/>
          <w:rFonts w:hint="default" w:ascii="方正仿宋简体" w:hAnsi="方正仿宋简体" w:eastAsia="方正仿宋简体" w:cs="方正仿宋简体"/>
          <w:i w:val="0"/>
          <w:iCs w:val="0"/>
          <w:caps w:val="0"/>
          <w:color w:val="000000"/>
          <w:spacing w:val="0"/>
          <w:sz w:val="31"/>
          <w:szCs w:val="31"/>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黑体" w:hAnsi="黑体" w:eastAsia="黑体" w:cs="黑体"/>
          <w:b/>
          <w:i w:val="0"/>
          <w:caps w:val="0"/>
          <w:color w:val="333333"/>
          <w:spacing w:val="0"/>
          <w:sz w:val="32"/>
          <w:szCs w:val="32"/>
          <w:shd w:val="clear" w:fill="FFFFFF"/>
        </w:rPr>
      </w:pPr>
      <w:r>
        <w:rPr>
          <w:rFonts w:hint="eastAsia" w:ascii="黑体" w:hAnsi="黑体" w:eastAsia="黑体" w:cs="黑体"/>
          <w:b/>
          <w:i w:val="0"/>
          <w:caps w:val="0"/>
          <w:color w:val="333333"/>
          <w:spacing w:val="0"/>
          <w:sz w:val="32"/>
          <w:szCs w:val="32"/>
          <w:shd w:val="clear" w:fill="FFFFFF"/>
        </w:rPr>
        <w:t>一、总体情况</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Style w:val="8"/>
          <w:rFonts w:hint="default" w:ascii="Times New Roman" w:hAnsi="Times New Roman" w:eastAsia="方正仿宋简体" w:cs="Times New Roman"/>
          <w:i w:val="0"/>
          <w:iCs w:val="0"/>
          <w:caps w:val="0"/>
          <w:color w:val="000000"/>
          <w:spacing w:val="0"/>
          <w:sz w:val="32"/>
          <w:szCs w:val="32"/>
          <w:shd w:val="clear" w:fill="FFFFFF"/>
        </w:rPr>
      </w:pPr>
      <w:r>
        <w:rPr>
          <w:rStyle w:val="8"/>
          <w:rFonts w:hint="default" w:ascii="Times New Roman" w:hAnsi="Times New Roman" w:eastAsia="方正仿宋简体" w:cs="Times New Roman"/>
          <w:i w:val="0"/>
          <w:iCs w:val="0"/>
          <w:caps w:val="0"/>
          <w:color w:val="000000"/>
          <w:spacing w:val="0"/>
          <w:sz w:val="32"/>
          <w:szCs w:val="32"/>
          <w:shd w:val="clear" w:fill="FFFFFF"/>
        </w:rPr>
        <w:t>2022年</w:t>
      </w:r>
      <w:r>
        <w:rPr>
          <w:rStyle w:val="8"/>
          <w:rFonts w:hint="eastAsia" w:ascii="Times New Roman" w:hAnsi="Times New Roman" w:eastAsia="方正仿宋简体" w:cs="Times New Roman"/>
          <w:i w:val="0"/>
          <w:iCs w:val="0"/>
          <w:caps w:val="0"/>
          <w:color w:val="000000"/>
          <w:spacing w:val="0"/>
          <w:sz w:val="32"/>
          <w:szCs w:val="32"/>
          <w:shd w:val="clear" w:fill="FFFFFF"/>
          <w:lang w:val="en-US" w:eastAsia="zh-CN"/>
        </w:rPr>
        <w:t>曲阜市</w:t>
      </w:r>
      <w:r>
        <w:rPr>
          <w:rStyle w:val="8"/>
          <w:rFonts w:hint="default" w:ascii="Times New Roman" w:hAnsi="Times New Roman" w:eastAsia="方正仿宋简体" w:cs="Times New Roman"/>
          <w:i w:val="0"/>
          <w:iCs w:val="0"/>
          <w:caps w:val="0"/>
          <w:color w:val="000000"/>
          <w:spacing w:val="0"/>
          <w:sz w:val="32"/>
          <w:szCs w:val="32"/>
          <w:shd w:val="clear" w:fill="FFFFFF"/>
        </w:rPr>
        <w:t>市场监</w:t>
      </w:r>
      <w:r>
        <w:rPr>
          <w:rStyle w:val="8"/>
          <w:rFonts w:hint="eastAsia" w:ascii="Times New Roman" w:hAnsi="Times New Roman" w:eastAsia="方正仿宋简体" w:cs="Times New Roman"/>
          <w:i w:val="0"/>
          <w:iCs w:val="0"/>
          <w:caps w:val="0"/>
          <w:color w:val="000000"/>
          <w:spacing w:val="0"/>
          <w:sz w:val="32"/>
          <w:szCs w:val="32"/>
          <w:shd w:val="clear" w:fill="FFFFFF"/>
          <w:lang w:val="en-US" w:eastAsia="zh-CN"/>
        </w:rPr>
        <w:t>督管理</w:t>
      </w:r>
      <w:r>
        <w:rPr>
          <w:rStyle w:val="8"/>
          <w:rFonts w:hint="default" w:ascii="Times New Roman" w:hAnsi="Times New Roman" w:eastAsia="方正仿宋简体" w:cs="Times New Roman"/>
          <w:i w:val="0"/>
          <w:iCs w:val="0"/>
          <w:caps w:val="0"/>
          <w:color w:val="000000"/>
          <w:spacing w:val="0"/>
          <w:sz w:val="32"/>
          <w:szCs w:val="32"/>
          <w:shd w:val="clear" w:fill="FFFFFF"/>
        </w:rPr>
        <w:t>局全面贯彻落实党的十九大和党的二十大精神，全面推进决策、执行、管理、服务、结果公开，不断提升政府信息公开工作实效，增进人民群众对市场监管工作的理解和支持，切实增强市场监管依法履职能力。紧紧围绕市委、市政府中心工作及社会群众关注关切，着力提升政府信息公开质量，推进拓宽政府信息公开渠道，不断增强政府信息公开实效。</w:t>
      </w:r>
    </w:p>
    <w:p>
      <w:pPr>
        <w:pStyle w:val="4"/>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both"/>
        <w:textAlignment w:val="auto"/>
        <w:rPr>
          <w:rStyle w:val="8"/>
          <w:rFonts w:hint="eastAsia" w:ascii="方正仿宋简体" w:hAnsi="方正仿宋简体" w:eastAsia="方正仿宋简体" w:cs="方正仿宋简体"/>
          <w:i w:val="0"/>
          <w:iCs w:val="0"/>
          <w:caps w:val="0"/>
          <w:color w:val="000000"/>
          <w:spacing w:val="0"/>
          <w:sz w:val="32"/>
          <w:szCs w:val="32"/>
          <w:shd w:val="clear" w:fill="FFFFFF"/>
        </w:rPr>
      </w:pPr>
      <w:r>
        <w:rPr>
          <w:rFonts w:hint="eastAsia" w:ascii="方正楷体简体" w:hAnsi="Times New Roman" w:eastAsia="方正楷体简体" w:cs="Times New Roman"/>
          <w:b/>
          <w:color w:val="000000" w:themeColor="text1"/>
          <w:kern w:val="0"/>
          <w:sz w:val="32"/>
          <w:szCs w:val="32"/>
          <w:lang w:val="en-US" w:eastAsia="zh-CN" w:bidi="ar-SA"/>
          <w14:textFill>
            <w14:solidFill>
              <w14:schemeClr w14:val="tx1"/>
            </w14:solidFill>
          </w14:textFill>
        </w:rPr>
        <w:t>主动公开政府信息情况</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622" w:firstLineChars="200"/>
        <w:jc w:val="both"/>
        <w:textAlignment w:val="auto"/>
        <w:rPr>
          <w:rStyle w:val="8"/>
          <w:rFonts w:hint="eastAsia" w:ascii="方正仿宋简体" w:hAnsi="方正仿宋简体" w:eastAsia="方正仿宋简体" w:cs="方正仿宋简体"/>
          <w:i w:val="0"/>
          <w:iCs w:val="0"/>
          <w:caps w:val="0"/>
          <w:color w:val="000000"/>
          <w:spacing w:val="0"/>
          <w:sz w:val="31"/>
          <w:szCs w:val="31"/>
          <w:shd w:val="clear" w:fill="FFFFFF"/>
        </w:rPr>
      </w:pPr>
      <w:r>
        <w:rPr>
          <w:rStyle w:val="8"/>
          <w:rFonts w:hint="eastAsia" w:ascii="方正仿宋简体" w:hAnsi="方正仿宋简体" w:eastAsia="方正仿宋简体" w:cs="方正仿宋简体"/>
          <w:i w:val="0"/>
          <w:iCs w:val="0"/>
          <w:caps w:val="0"/>
          <w:color w:val="000000"/>
          <w:spacing w:val="0"/>
          <w:sz w:val="31"/>
          <w:szCs w:val="31"/>
          <w:shd w:val="clear" w:fill="FFFFFF"/>
        </w:rPr>
        <w:t>市场监管局稳步推进政务公开政府信息公开工作,将本局工作主动公开如下：通过政府网站公示部门文件</w:t>
      </w:r>
      <w:r>
        <w:rPr>
          <w:rStyle w:val="8"/>
          <w:rFonts w:hint="eastAsia" w:ascii="Times New Roman" w:hAnsi="Times New Roman" w:eastAsia="方正仿宋简体" w:cs="Times New Roman"/>
          <w:i w:val="0"/>
          <w:iCs w:val="0"/>
          <w:caps w:val="0"/>
          <w:color w:val="000000"/>
          <w:spacing w:val="0"/>
          <w:sz w:val="31"/>
          <w:szCs w:val="31"/>
          <w:shd w:val="clear" w:fill="FFFFFF"/>
          <w:lang w:val="en-US" w:eastAsia="zh-CN"/>
        </w:rPr>
        <w:t>3</w:t>
      </w:r>
      <w:r>
        <w:rPr>
          <w:rStyle w:val="8"/>
          <w:rFonts w:hint="eastAsia" w:ascii="方正仿宋简体" w:hAnsi="方正仿宋简体" w:eastAsia="方正仿宋简体" w:cs="方正仿宋简体"/>
          <w:i w:val="0"/>
          <w:iCs w:val="0"/>
          <w:caps w:val="0"/>
          <w:color w:val="000000"/>
          <w:spacing w:val="0"/>
          <w:sz w:val="31"/>
          <w:szCs w:val="31"/>
          <w:shd w:val="clear" w:fill="FFFFFF"/>
        </w:rPr>
        <w:t>个，公示食品药品、质量监管等行政执法结果信息</w:t>
      </w:r>
      <w:r>
        <w:rPr>
          <w:rStyle w:val="8"/>
          <w:rFonts w:hint="eastAsia" w:ascii="Times New Roman" w:hAnsi="Times New Roman" w:eastAsia="方正仿宋简体" w:cs="Times New Roman"/>
          <w:i w:val="0"/>
          <w:iCs w:val="0"/>
          <w:caps w:val="0"/>
          <w:color w:val="000000"/>
          <w:spacing w:val="0"/>
          <w:sz w:val="31"/>
          <w:szCs w:val="31"/>
          <w:shd w:val="clear" w:fill="FFFFFF"/>
          <w:lang w:val="en-US" w:eastAsia="zh-CN"/>
        </w:rPr>
        <w:t>57</w:t>
      </w:r>
      <w:r>
        <w:rPr>
          <w:rStyle w:val="8"/>
          <w:rFonts w:hint="eastAsia" w:ascii="方正仿宋简体" w:hAnsi="方正仿宋简体" w:eastAsia="方正仿宋简体" w:cs="方正仿宋简体"/>
          <w:i w:val="0"/>
          <w:iCs w:val="0"/>
          <w:caps w:val="0"/>
          <w:color w:val="000000"/>
          <w:spacing w:val="0"/>
          <w:sz w:val="31"/>
          <w:szCs w:val="31"/>
          <w:shd w:val="clear" w:fill="FFFFFF"/>
        </w:rPr>
        <w:t>条；公示公共监管产品质量抽检信息</w:t>
      </w:r>
      <w:r>
        <w:rPr>
          <w:rStyle w:val="8"/>
          <w:rFonts w:hint="eastAsia" w:ascii="Times New Roman" w:hAnsi="Times New Roman" w:eastAsia="方正仿宋简体" w:cs="Times New Roman"/>
          <w:i w:val="0"/>
          <w:iCs w:val="0"/>
          <w:caps w:val="0"/>
          <w:color w:val="000000"/>
          <w:spacing w:val="0"/>
          <w:sz w:val="31"/>
          <w:szCs w:val="31"/>
          <w:shd w:val="clear" w:fill="FFFFFF"/>
          <w:lang w:val="en-US" w:eastAsia="zh-CN"/>
        </w:rPr>
        <w:t>15</w:t>
      </w:r>
      <w:r>
        <w:rPr>
          <w:rStyle w:val="8"/>
          <w:rFonts w:hint="eastAsia" w:ascii="方正仿宋简体" w:hAnsi="方正仿宋简体" w:eastAsia="方正仿宋简体" w:cs="方正仿宋简体"/>
          <w:i w:val="0"/>
          <w:iCs w:val="0"/>
          <w:caps w:val="0"/>
          <w:color w:val="000000"/>
          <w:spacing w:val="0"/>
          <w:sz w:val="31"/>
          <w:szCs w:val="31"/>
          <w:shd w:val="clear" w:fill="FFFFFF"/>
        </w:rPr>
        <w:t>条、食品药品抽检信息</w:t>
      </w:r>
      <w:r>
        <w:rPr>
          <w:rStyle w:val="8"/>
          <w:rFonts w:hint="eastAsia" w:ascii="Times New Roman" w:hAnsi="Times New Roman" w:eastAsia="方正仿宋简体" w:cs="Times New Roman"/>
          <w:i w:val="0"/>
          <w:iCs w:val="0"/>
          <w:caps w:val="0"/>
          <w:color w:val="000000"/>
          <w:spacing w:val="0"/>
          <w:sz w:val="31"/>
          <w:szCs w:val="31"/>
          <w:shd w:val="clear" w:fill="FFFFFF"/>
          <w:lang w:val="en-US" w:eastAsia="zh-CN"/>
        </w:rPr>
        <w:t>42</w:t>
      </w:r>
      <w:r>
        <w:rPr>
          <w:rStyle w:val="8"/>
          <w:rFonts w:hint="eastAsia" w:ascii="方正仿宋简体" w:hAnsi="方正仿宋简体" w:eastAsia="方正仿宋简体" w:cs="方正仿宋简体"/>
          <w:i w:val="0"/>
          <w:iCs w:val="0"/>
          <w:caps w:val="0"/>
          <w:color w:val="000000"/>
          <w:spacing w:val="0"/>
          <w:sz w:val="31"/>
          <w:szCs w:val="31"/>
          <w:shd w:val="clear" w:fill="FFFFFF"/>
        </w:rPr>
        <w:t>条，公示“双随机、一公开”信息</w:t>
      </w:r>
      <w:r>
        <w:rPr>
          <w:rStyle w:val="8"/>
          <w:rFonts w:hint="default" w:ascii="Times New Roman" w:hAnsi="Times New Roman" w:eastAsia="方正仿宋简体" w:cs="Times New Roman"/>
          <w:i w:val="0"/>
          <w:iCs w:val="0"/>
          <w:caps w:val="0"/>
          <w:color w:val="000000"/>
          <w:spacing w:val="0"/>
          <w:sz w:val="31"/>
          <w:szCs w:val="31"/>
          <w:shd w:val="clear" w:fill="FFFFFF"/>
        </w:rPr>
        <w:t>5</w:t>
      </w:r>
      <w:r>
        <w:rPr>
          <w:rStyle w:val="8"/>
          <w:rFonts w:hint="eastAsia" w:ascii="方正仿宋简体" w:hAnsi="方正仿宋简体" w:eastAsia="方正仿宋简体" w:cs="方正仿宋简体"/>
          <w:i w:val="0"/>
          <w:iCs w:val="0"/>
          <w:caps w:val="0"/>
          <w:color w:val="000000"/>
          <w:spacing w:val="0"/>
          <w:sz w:val="31"/>
          <w:szCs w:val="31"/>
          <w:shd w:val="clear" w:fill="FFFFFF"/>
        </w:rPr>
        <w:t>条，公示其他政府信息</w:t>
      </w:r>
      <w:r>
        <w:rPr>
          <w:rStyle w:val="8"/>
          <w:rFonts w:hint="eastAsia" w:ascii="Times New Roman" w:hAnsi="Times New Roman" w:eastAsia="方正仿宋简体" w:cs="Times New Roman"/>
          <w:i w:val="0"/>
          <w:iCs w:val="0"/>
          <w:caps w:val="0"/>
          <w:color w:val="000000"/>
          <w:spacing w:val="0"/>
          <w:sz w:val="31"/>
          <w:szCs w:val="31"/>
          <w:shd w:val="clear" w:fill="FFFFFF"/>
          <w:lang w:val="en-US" w:eastAsia="zh-CN"/>
        </w:rPr>
        <w:t>9</w:t>
      </w:r>
      <w:r>
        <w:rPr>
          <w:rStyle w:val="8"/>
          <w:rFonts w:hint="eastAsia" w:ascii="方正仿宋简体" w:hAnsi="方正仿宋简体" w:eastAsia="方正仿宋简体" w:cs="方正仿宋简体"/>
          <w:i w:val="0"/>
          <w:iCs w:val="0"/>
          <w:caps w:val="0"/>
          <w:color w:val="000000"/>
          <w:spacing w:val="0"/>
          <w:sz w:val="31"/>
          <w:szCs w:val="31"/>
          <w:shd w:val="clear" w:fill="FFFFFF"/>
        </w:rPr>
        <w:t>条。</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622" w:firstLineChars="200"/>
        <w:jc w:val="both"/>
        <w:textAlignment w:val="auto"/>
        <w:rPr>
          <w:rStyle w:val="8"/>
          <w:rFonts w:hint="eastAsia" w:ascii="方正仿宋简体" w:hAnsi="方正仿宋简体" w:eastAsia="方正仿宋简体" w:cs="方正仿宋简体"/>
          <w:i w:val="0"/>
          <w:iCs w:val="0"/>
          <w:caps w:val="0"/>
          <w:color w:val="000000"/>
          <w:spacing w:val="0"/>
          <w:sz w:val="31"/>
          <w:szCs w:val="31"/>
          <w:shd w:val="clear" w:fill="FFFFFF"/>
        </w:rPr>
      </w:pP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right="0" w:rightChars="0" w:firstLine="622" w:firstLineChars="200"/>
        <w:jc w:val="both"/>
        <w:textAlignment w:val="auto"/>
        <w:rPr>
          <w:rStyle w:val="8"/>
          <w:rFonts w:hint="eastAsia" w:ascii="方正仿宋简体" w:hAnsi="方正仿宋简体" w:eastAsia="方正仿宋简体" w:cs="方正仿宋简体"/>
          <w:i w:val="0"/>
          <w:iCs w:val="0"/>
          <w:caps w:val="0"/>
          <w:color w:val="000000"/>
          <w:spacing w:val="0"/>
          <w:sz w:val="31"/>
          <w:szCs w:val="31"/>
          <w:shd w:val="clear" w:fill="FFFFFF"/>
          <w:lang w:eastAsia="zh-CN"/>
        </w:rPr>
      </w:pPr>
      <w:r>
        <w:rPr>
          <w:rStyle w:val="8"/>
          <w:rFonts w:hint="eastAsia" w:ascii="方正仿宋简体" w:hAnsi="方正仿宋简体" w:eastAsia="方正仿宋简体" w:cs="方正仿宋简体"/>
          <w:i w:val="0"/>
          <w:iCs w:val="0"/>
          <w:caps w:val="0"/>
          <w:color w:val="000000"/>
          <w:spacing w:val="0"/>
          <w:sz w:val="31"/>
          <w:szCs w:val="31"/>
          <w:shd w:val="clear" w:fill="FFFFFF"/>
          <w:lang w:eastAsia="zh-CN"/>
        </w:rPr>
        <w:drawing>
          <wp:inline distT="0" distB="0" distL="114300" distR="114300">
            <wp:extent cx="4984115" cy="3278505"/>
            <wp:effectExtent l="0" t="0" r="6985" b="17145"/>
            <wp:docPr id="3" name="图片 3" descr="6db7354d3b3be2559f58e0f98138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db7354d3b3be2559f58e0f98138528"/>
                    <pic:cNvPicPr>
                      <a:picLocks noChangeAspect="1"/>
                    </pic:cNvPicPr>
                  </pic:nvPicPr>
                  <pic:blipFill>
                    <a:blip r:embed="rId4"/>
                    <a:stretch>
                      <a:fillRect/>
                    </a:stretch>
                  </pic:blipFill>
                  <pic:spPr>
                    <a:xfrm>
                      <a:off x="0" y="0"/>
                      <a:ext cx="4984115" cy="3278505"/>
                    </a:xfrm>
                    <a:prstGeom prst="rect">
                      <a:avLst/>
                    </a:prstGeom>
                  </pic:spPr>
                </pic:pic>
              </a:graphicData>
            </a:graphic>
          </wp:inline>
        </w:drawing>
      </w:r>
    </w:p>
    <w:p>
      <w:pPr>
        <w:pStyle w:val="4"/>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both"/>
        <w:textAlignment w:val="auto"/>
        <w:rPr>
          <w:rFonts w:hint="default" w:ascii="方正楷体简体" w:hAnsi="Times New Roman" w:eastAsia="方正楷体简体" w:cs="Times New Roman"/>
          <w:b/>
          <w:color w:val="000000" w:themeColor="text1"/>
          <w:kern w:val="0"/>
          <w:sz w:val="32"/>
          <w:szCs w:val="32"/>
          <w:lang w:val="en-US" w:eastAsia="zh-CN" w:bidi="ar-SA"/>
          <w14:textFill>
            <w14:solidFill>
              <w14:schemeClr w14:val="tx1"/>
            </w14:solidFill>
          </w14:textFill>
        </w:rPr>
      </w:pPr>
      <w:r>
        <w:rPr>
          <w:rFonts w:hint="default" w:ascii="方正楷体简体" w:hAnsi="Times New Roman" w:eastAsia="方正楷体简体" w:cs="Times New Roman"/>
          <w:b/>
          <w:color w:val="000000" w:themeColor="text1"/>
          <w:kern w:val="0"/>
          <w:sz w:val="32"/>
          <w:szCs w:val="32"/>
          <w:lang w:val="en-US" w:eastAsia="zh-CN" w:bidi="ar-SA"/>
          <w14:textFill>
            <w14:solidFill>
              <w14:schemeClr w14:val="tx1"/>
            </w14:solidFill>
          </w14:textFill>
        </w:rPr>
        <w:t>依申请公开工作方面</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22" w:firstLineChars="200"/>
        <w:textAlignment w:val="auto"/>
        <w:rPr>
          <w:rStyle w:val="8"/>
          <w:rFonts w:hint="default" w:ascii="Times New Roman" w:hAnsi="Times New Roman" w:eastAsia="方正仿宋简体" w:cs="Times New Roman"/>
          <w:i w:val="0"/>
          <w:iCs w:val="0"/>
          <w:caps w:val="0"/>
          <w:color w:val="000000"/>
          <w:spacing w:val="0"/>
          <w:kern w:val="0"/>
          <w:sz w:val="31"/>
          <w:szCs w:val="31"/>
          <w:shd w:val="clear" w:fill="FFFFFF"/>
          <w:lang w:val="en-US" w:eastAsia="zh-CN" w:bidi="ar"/>
        </w:rPr>
      </w:pPr>
      <w:r>
        <w:rPr>
          <w:rStyle w:val="8"/>
          <w:rFonts w:hint="default" w:ascii="Times New Roman" w:hAnsi="Times New Roman" w:eastAsia="方正仿宋简体" w:cs="Times New Roman"/>
          <w:i w:val="0"/>
          <w:iCs w:val="0"/>
          <w:caps w:val="0"/>
          <w:color w:val="000000"/>
          <w:spacing w:val="0"/>
          <w:kern w:val="0"/>
          <w:sz w:val="31"/>
          <w:szCs w:val="31"/>
          <w:shd w:val="clear" w:fill="FFFFFF"/>
          <w:lang w:val="en-US" w:eastAsia="zh-CN" w:bidi="ar"/>
        </w:rPr>
        <w:t>市场监督管理局收到和处理依申请信息公开申请</w:t>
      </w:r>
      <w:r>
        <w:rPr>
          <w:rStyle w:val="8"/>
          <w:rFonts w:hint="eastAsia" w:ascii="Times New Roman" w:hAnsi="Times New Roman" w:eastAsia="方正仿宋简体" w:cs="Times New Roman"/>
          <w:i w:val="0"/>
          <w:iCs w:val="0"/>
          <w:caps w:val="0"/>
          <w:color w:val="000000"/>
          <w:spacing w:val="0"/>
          <w:kern w:val="0"/>
          <w:sz w:val="31"/>
          <w:szCs w:val="31"/>
          <w:shd w:val="clear" w:fill="FFFFFF"/>
          <w:lang w:val="en-US" w:eastAsia="zh-CN" w:bidi="ar"/>
        </w:rPr>
        <w:t>4</w:t>
      </w:r>
      <w:r>
        <w:rPr>
          <w:rStyle w:val="8"/>
          <w:rFonts w:hint="default" w:ascii="Times New Roman" w:hAnsi="Times New Roman" w:eastAsia="方正仿宋简体" w:cs="Times New Roman"/>
          <w:i w:val="0"/>
          <w:iCs w:val="0"/>
          <w:caps w:val="0"/>
          <w:color w:val="000000"/>
          <w:spacing w:val="0"/>
          <w:kern w:val="0"/>
          <w:sz w:val="31"/>
          <w:szCs w:val="31"/>
          <w:shd w:val="clear" w:fill="FFFFFF"/>
          <w:lang w:val="en-US" w:eastAsia="zh-CN" w:bidi="ar"/>
        </w:rPr>
        <w:t>件</w:t>
      </w:r>
      <w:r>
        <w:rPr>
          <w:rStyle w:val="8"/>
          <w:rFonts w:hint="eastAsia" w:ascii="Times New Roman" w:hAnsi="Times New Roman" w:eastAsia="方正仿宋简体" w:cs="Times New Roman"/>
          <w:i w:val="0"/>
          <w:iCs w:val="0"/>
          <w:caps w:val="0"/>
          <w:color w:val="000000"/>
          <w:spacing w:val="0"/>
          <w:kern w:val="0"/>
          <w:sz w:val="31"/>
          <w:szCs w:val="31"/>
          <w:shd w:val="clear" w:fill="FFFFFF"/>
          <w:lang w:val="en-US" w:eastAsia="zh-CN" w:bidi="ar"/>
        </w:rPr>
        <w:t>,比去年减少2件，全部按时答复。不断</w:t>
      </w:r>
      <w:r>
        <w:rPr>
          <w:rStyle w:val="8"/>
          <w:rFonts w:hint="default" w:ascii="Times New Roman" w:hAnsi="Times New Roman" w:eastAsia="方正仿宋简体" w:cs="Times New Roman"/>
          <w:i w:val="0"/>
          <w:iCs w:val="0"/>
          <w:caps w:val="0"/>
          <w:color w:val="000000"/>
          <w:spacing w:val="0"/>
          <w:kern w:val="0"/>
          <w:sz w:val="31"/>
          <w:szCs w:val="31"/>
          <w:shd w:val="clear" w:fill="FFFFFF"/>
          <w:lang w:val="en-US" w:eastAsia="zh-CN" w:bidi="ar"/>
        </w:rPr>
        <w:t>优化政府信息依申请公开的申请程序及申请流程，</w:t>
      </w:r>
      <w:r>
        <w:rPr>
          <w:rStyle w:val="8"/>
          <w:rFonts w:hint="eastAsia" w:ascii="Times New Roman" w:hAnsi="Times New Roman" w:eastAsia="方正仿宋简体" w:cs="Times New Roman"/>
          <w:i w:val="0"/>
          <w:iCs w:val="0"/>
          <w:caps w:val="0"/>
          <w:color w:val="000000"/>
          <w:spacing w:val="0"/>
          <w:kern w:val="0"/>
          <w:sz w:val="31"/>
          <w:szCs w:val="31"/>
          <w:shd w:val="clear" w:fill="FFFFFF"/>
          <w:lang w:val="en-US" w:eastAsia="zh-CN" w:bidi="ar"/>
        </w:rPr>
        <w:t>认真落实</w:t>
      </w:r>
      <w:r>
        <w:rPr>
          <w:rStyle w:val="8"/>
          <w:rFonts w:hint="default" w:ascii="Times New Roman" w:hAnsi="Times New Roman" w:eastAsia="方正仿宋简体" w:cs="Times New Roman"/>
          <w:i w:val="0"/>
          <w:iCs w:val="0"/>
          <w:caps w:val="0"/>
          <w:color w:val="000000"/>
          <w:spacing w:val="0"/>
          <w:kern w:val="0"/>
          <w:sz w:val="31"/>
          <w:szCs w:val="31"/>
          <w:shd w:val="clear" w:fill="FFFFFF"/>
          <w:lang w:val="en-US" w:eastAsia="zh-CN" w:bidi="ar"/>
        </w:rPr>
        <w:t>依申请公开信件答复工作。</w:t>
      </w:r>
    </w:p>
    <w:p>
      <w:pPr>
        <w:pStyle w:val="4"/>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both"/>
        <w:textAlignment w:val="auto"/>
        <w:rPr>
          <w:rFonts w:hint="default" w:ascii="方正楷体简体" w:hAnsi="Times New Roman" w:eastAsia="方正楷体简体" w:cs="Times New Roman"/>
          <w:b/>
          <w:color w:val="000000" w:themeColor="text1"/>
          <w:kern w:val="0"/>
          <w:sz w:val="32"/>
          <w:szCs w:val="32"/>
          <w:lang w:val="en-US" w:eastAsia="zh-CN" w:bidi="ar-SA"/>
          <w14:textFill>
            <w14:solidFill>
              <w14:schemeClr w14:val="tx1"/>
            </w14:solidFill>
          </w14:textFill>
        </w:rPr>
      </w:pPr>
      <w:r>
        <w:rPr>
          <w:rFonts w:hint="default" w:ascii="方正楷体简体" w:hAnsi="Times New Roman" w:eastAsia="方正楷体简体" w:cs="Times New Roman"/>
          <w:b/>
          <w:color w:val="000000" w:themeColor="text1"/>
          <w:kern w:val="0"/>
          <w:sz w:val="32"/>
          <w:szCs w:val="32"/>
          <w:lang w:val="en-US" w:eastAsia="zh-CN" w:bidi="ar-SA"/>
          <w14:textFill>
            <w14:solidFill>
              <w14:schemeClr w14:val="tx1"/>
            </w14:solidFill>
          </w14:textFill>
        </w:rPr>
        <w:t>政府信息管理方面</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22" w:firstLineChars="200"/>
        <w:jc w:val="both"/>
        <w:textAlignment w:val="auto"/>
        <w:rPr>
          <w:rStyle w:val="8"/>
          <w:rFonts w:hint="default" w:ascii="Times New Roman" w:hAnsi="Times New Roman" w:eastAsia="方正仿宋简体" w:cs="Times New Roman"/>
          <w:i w:val="0"/>
          <w:iCs w:val="0"/>
          <w:caps w:val="0"/>
          <w:color w:val="000000"/>
          <w:spacing w:val="0"/>
          <w:kern w:val="0"/>
          <w:sz w:val="31"/>
          <w:szCs w:val="31"/>
          <w:shd w:val="clear" w:fill="FFFFFF"/>
          <w:lang w:val="en-US" w:eastAsia="zh-CN" w:bidi="ar"/>
        </w:rPr>
      </w:pPr>
      <w:r>
        <w:rPr>
          <w:rStyle w:val="8"/>
          <w:rFonts w:hint="default" w:ascii="Times New Roman" w:hAnsi="Times New Roman" w:eastAsia="方正仿宋简体" w:cs="Times New Roman"/>
          <w:i w:val="0"/>
          <w:iCs w:val="0"/>
          <w:caps w:val="0"/>
          <w:color w:val="000000"/>
          <w:spacing w:val="0"/>
          <w:kern w:val="0"/>
          <w:sz w:val="31"/>
          <w:szCs w:val="31"/>
          <w:shd w:val="clear" w:fill="FFFFFF"/>
          <w:lang w:val="en-US" w:eastAsia="zh-CN" w:bidi="ar"/>
        </w:rPr>
        <w:t>政府信息主动公开目录有食品药品监管、“双随机·一公开”监管和反不正当竞争执法信息等方面内容。</w:t>
      </w:r>
    </w:p>
    <w:p>
      <w:pPr>
        <w:pStyle w:val="4"/>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both"/>
        <w:textAlignment w:val="auto"/>
        <w:rPr>
          <w:rFonts w:hint="eastAsia" w:ascii="方正楷体简体" w:hAnsi="Times New Roman" w:eastAsia="方正楷体简体" w:cs="Times New Roman"/>
          <w:b/>
          <w:color w:val="000000" w:themeColor="text1"/>
          <w:kern w:val="0"/>
          <w:sz w:val="32"/>
          <w:szCs w:val="32"/>
          <w:lang w:val="en-US" w:eastAsia="zh-CN" w:bidi="ar-SA"/>
          <w14:textFill>
            <w14:solidFill>
              <w14:schemeClr w14:val="tx1"/>
            </w14:solidFill>
          </w14:textFill>
        </w:rPr>
      </w:pPr>
      <w:r>
        <w:rPr>
          <w:rFonts w:hint="eastAsia" w:ascii="方正楷体简体" w:hAnsi="Times New Roman" w:eastAsia="方正楷体简体" w:cs="Times New Roman"/>
          <w:b/>
          <w:color w:val="000000" w:themeColor="text1"/>
          <w:kern w:val="0"/>
          <w:sz w:val="32"/>
          <w:szCs w:val="32"/>
          <w:lang w:val="en-US" w:eastAsia="zh-CN" w:bidi="ar-SA"/>
          <w14:textFill>
            <w14:solidFill>
              <w14:schemeClr w14:val="tx1"/>
            </w14:solidFill>
          </w14:textFill>
        </w:rPr>
        <w:t>平台建设方面</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22" w:firstLineChars="200"/>
        <w:jc w:val="both"/>
        <w:textAlignment w:val="auto"/>
        <w:rPr>
          <w:rStyle w:val="8"/>
          <w:rFonts w:hint="eastAsia" w:ascii="Times New Roman" w:hAnsi="Times New Roman" w:eastAsia="方正仿宋简体" w:cs="Times New Roman"/>
          <w:i w:val="0"/>
          <w:iCs w:val="0"/>
          <w:caps w:val="0"/>
          <w:color w:val="000000"/>
          <w:spacing w:val="0"/>
          <w:kern w:val="0"/>
          <w:sz w:val="31"/>
          <w:szCs w:val="31"/>
          <w:shd w:val="clear" w:fill="FFFFFF"/>
          <w:lang w:val="en-US" w:eastAsia="zh-CN" w:bidi="ar"/>
        </w:rPr>
      </w:pPr>
      <w:r>
        <w:rPr>
          <w:rStyle w:val="8"/>
          <w:rFonts w:hint="eastAsia" w:ascii="Times New Roman" w:hAnsi="Times New Roman" w:eastAsia="方正仿宋简体" w:cs="Times New Roman"/>
          <w:i w:val="0"/>
          <w:iCs w:val="0"/>
          <w:caps w:val="0"/>
          <w:color w:val="000000"/>
          <w:spacing w:val="0"/>
          <w:kern w:val="0"/>
          <w:sz w:val="31"/>
          <w:szCs w:val="31"/>
          <w:shd w:val="clear" w:fill="FFFFFF"/>
          <w:lang w:val="en-US" w:eastAsia="zh-CN" w:bidi="ar"/>
        </w:rPr>
        <w:t>市场监管局建有唯一官方信息宣传平台：微信公众号（曲阜市场监管），通过该公众号发布相关监管信息和工作信息。</w:t>
      </w:r>
    </w:p>
    <w:p>
      <w:pPr>
        <w:pStyle w:val="4"/>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both"/>
        <w:textAlignment w:val="auto"/>
        <w:rPr>
          <w:rFonts w:hint="eastAsia" w:ascii="方正楷体简体" w:hAnsi="Times New Roman" w:eastAsia="方正楷体简体" w:cs="Times New Roman"/>
          <w:b/>
          <w:color w:val="000000" w:themeColor="text1"/>
          <w:kern w:val="0"/>
          <w:sz w:val="32"/>
          <w:szCs w:val="32"/>
          <w:lang w:val="en-US" w:eastAsia="zh-CN" w:bidi="ar-SA"/>
          <w14:textFill>
            <w14:solidFill>
              <w14:schemeClr w14:val="tx1"/>
            </w14:solidFill>
          </w14:textFill>
        </w:rPr>
      </w:pPr>
      <w:bookmarkStart w:id="10" w:name="_GoBack"/>
      <w:r>
        <w:rPr>
          <w:rFonts w:hint="eastAsia" w:ascii="方正楷体简体" w:hAnsi="Times New Roman" w:eastAsia="方正楷体简体" w:cs="Times New Roman"/>
          <w:b/>
          <w:color w:val="000000" w:themeColor="text1"/>
          <w:kern w:val="0"/>
          <w:sz w:val="32"/>
          <w:szCs w:val="32"/>
          <w:lang w:val="en-US" w:eastAsia="zh-CN" w:bidi="ar-SA"/>
          <w14:textFill>
            <w14:solidFill>
              <w14:schemeClr w14:val="tx1"/>
            </w14:solidFill>
          </w14:textFill>
        </w:rPr>
        <w:t>机构设置方面</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22" w:firstLineChars="200"/>
        <w:jc w:val="both"/>
        <w:textAlignment w:val="auto"/>
        <w:rPr>
          <w:rStyle w:val="8"/>
          <w:rFonts w:hint="default" w:ascii="Times New Roman" w:hAnsi="Times New Roman" w:eastAsia="方正仿宋简体" w:cs="Times New Roman"/>
          <w:i w:val="0"/>
          <w:iCs w:val="0"/>
          <w:caps w:val="0"/>
          <w:color w:val="000000"/>
          <w:spacing w:val="0"/>
          <w:kern w:val="0"/>
          <w:sz w:val="31"/>
          <w:szCs w:val="31"/>
          <w:shd w:val="clear" w:fill="FFFFFF"/>
          <w:lang w:val="en-US" w:eastAsia="zh-CN" w:bidi="ar"/>
        </w:rPr>
      </w:pPr>
      <w:r>
        <w:rPr>
          <w:rStyle w:val="8"/>
          <w:rFonts w:hint="eastAsia" w:ascii="Times New Roman" w:hAnsi="Times New Roman" w:eastAsia="方正仿宋简体" w:cs="Times New Roman"/>
          <w:i w:val="0"/>
          <w:iCs w:val="0"/>
          <w:caps w:val="0"/>
          <w:color w:val="000000"/>
          <w:spacing w:val="0"/>
          <w:kern w:val="0"/>
          <w:sz w:val="31"/>
          <w:szCs w:val="31"/>
          <w:shd w:val="clear" w:fill="FFFFFF"/>
          <w:lang w:val="en-US" w:eastAsia="zh-CN" w:bidi="ar"/>
        </w:rPr>
        <w:t>市场监管局共设置20个科室、15个市场监管所，2个事业单位；机关工作人员93名。经费主要投入到食品药品抽检支出、日常执法工作、办公设备等必要工作经费支出。</w:t>
      </w:r>
    </w:p>
    <w:bookmarkEnd w:id="10"/>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both"/>
        <w:rPr>
          <w:rFonts w:hint="eastAsia" w:ascii="黑体" w:hAnsi="黑体" w:eastAsia="黑体" w:cs="黑体"/>
          <w:b/>
          <w:i w:val="0"/>
          <w:caps w:val="0"/>
          <w:color w:val="333333"/>
          <w:spacing w:val="0"/>
          <w:sz w:val="32"/>
          <w:szCs w:val="32"/>
          <w:shd w:val="clear" w:fill="FFFFFF"/>
        </w:rPr>
      </w:pPr>
      <w:r>
        <w:rPr>
          <w:rFonts w:hint="eastAsia" w:ascii="黑体" w:hAnsi="黑体" w:eastAsia="黑体" w:cs="黑体"/>
          <w:b/>
          <w:i w:val="0"/>
          <w:caps w:val="0"/>
          <w:color w:val="333333"/>
          <w:spacing w:val="0"/>
          <w:sz w:val="32"/>
          <w:szCs w:val="32"/>
          <w:shd w:val="clear" w:fill="FFFFFF"/>
        </w:rPr>
        <w:t>二、主动公开政府信息情况</w:t>
      </w:r>
    </w:p>
    <w:tbl>
      <w:tblPr>
        <w:tblStyle w:val="6"/>
        <w:tblW w:w="8824" w:type="dxa"/>
        <w:tblInd w:w="0" w:type="dxa"/>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Calibri" w:eastAsia="仿宋_GB2312" w:cs="Calibri"/>
                <w:color w:val="auto"/>
                <w:kern w:val="0"/>
                <w:szCs w:val="21"/>
              </w:rPr>
            </w:pPr>
            <w:r>
              <w:rPr>
                <w:rFonts w:hint="eastAsia" w:ascii="仿宋_GB2312" w:hAnsi="宋体" w:eastAsia="仿宋_GB2312" w:cs="宋体"/>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ind w:firstLine="210" w:firstLineChars="100"/>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b w:val="0"/>
                <w:bCs w:val="0"/>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default"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lang w:eastAsia="zh-CN"/>
              </w:rPr>
              <w:t>　</w:t>
            </w:r>
            <w:r>
              <w:rPr>
                <w:rFonts w:hint="eastAsia" w:ascii="仿宋_GB2312" w:hAnsi="Calibri" w:eastAsia="仿宋_GB2312" w:cs="Calibri"/>
                <w:color w:val="auto"/>
                <w:kern w:val="0"/>
                <w:szCs w:val="21"/>
                <w:lang w:val="en-US" w:eastAsia="zh-CN"/>
              </w:rPr>
              <w:t>225</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Calibri" w:eastAsia="仿宋_GB2312" w:cs="Calibri"/>
                <w:color w:val="auto"/>
                <w:kern w:val="0"/>
                <w:szCs w:val="21"/>
                <w:lang w:eastAsia="zh-CN"/>
              </w:rPr>
            </w:pPr>
            <w:r>
              <w:rPr>
                <w:rFonts w:hint="eastAsia" w:ascii="仿宋_GB2312" w:hAnsi="Calibri" w:eastAsia="仿宋_GB2312" w:cs="Calibri"/>
                <w:color w:val="auto"/>
                <w:kern w:val="0"/>
                <w:szCs w:val="21"/>
                <w:lang w:eastAsia="zh-CN"/>
              </w:rPr>
              <w:t>　</w:t>
            </w:r>
            <w:r>
              <w:rPr>
                <w:rFonts w:hint="eastAsia" w:ascii="仿宋_GB2312" w:hAnsi="Calibri" w:eastAsia="仿宋_GB2312" w:cs="Calibri"/>
                <w:color w:val="auto"/>
                <w:kern w:val="0"/>
                <w:szCs w:val="21"/>
                <w:lang w:val="en-US" w:eastAsia="zh-CN"/>
              </w:rPr>
              <w:t>5</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Calibri" w:eastAsia="仿宋_GB2312" w:cs="Calibri"/>
                <w:color w:val="000000"/>
                <w:kern w:val="0"/>
                <w:szCs w:val="21"/>
                <w:lang w:eastAsia="zh-CN"/>
              </w:rPr>
            </w:pPr>
            <w:r>
              <w:rPr>
                <w:rFonts w:hint="eastAsia" w:ascii="仿宋_GB2312" w:hAnsi="Calibri" w:eastAsia="仿宋_GB2312" w:cs="Calibri"/>
                <w:color w:val="FF0000"/>
                <w:kern w:val="0"/>
                <w:szCs w:val="21"/>
                <w:lang w:val="en-US" w:eastAsia="zh-CN"/>
              </w:rPr>
              <w:t>　</w:t>
            </w:r>
            <w:r>
              <w:rPr>
                <w:rFonts w:hint="eastAsia" w:ascii="仿宋_GB2312" w:hAnsi="Calibri" w:eastAsia="仿宋_GB2312" w:cs="Calibri"/>
                <w:color w:val="auto"/>
                <w:kern w:val="0"/>
                <w:szCs w:val="21"/>
                <w:lang w:val="en-US" w:eastAsia="zh-CN"/>
              </w:rPr>
              <w:t>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黑体" w:hAnsi="黑体" w:eastAsia="黑体" w:cs="黑体"/>
          <w:b/>
          <w:i w:val="0"/>
          <w:caps w:val="0"/>
          <w:color w:val="333333"/>
          <w:spacing w:val="0"/>
          <w:sz w:val="32"/>
          <w:szCs w:val="32"/>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黑体" w:hAnsi="黑体" w:eastAsia="黑体" w:cs="黑体"/>
          <w:b/>
          <w:i w:val="0"/>
          <w:caps w:val="0"/>
          <w:color w:val="333333"/>
          <w:spacing w:val="0"/>
          <w:sz w:val="32"/>
          <w:szCs w:val="32"/>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黑体" w:hAnsi="黑体" w:eastAsia="黑体" w:cs="黑体"/>
          <w:b/>
          <w:i w:val="0"/>
          <w:caps w:val="0"/>
          <w:color w:val="333333"/>
          <w:spacing w:val="0"/>
          <w:sz w:val="32"/>
          <w:szCs w:val="32"/>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黑体" w:hAnsi="黑体" w:eastAsia="黑体" w:cs="黑体"/>
          <w:b/>
          <w:i w:val="0"/>
          <w:caps w:val="0"/>
          <w:color w:val="333333"/>
          <w:spacing w:val="0"/>
          <w:sz w:val="32"/>
          <w:szCs w:val="32"/>
          <w:shd w:val="clear" w:fill="FFFFFF"/>
          <w:lang w:val="en-US" w:eastAsia="zh-CN"/>
        </w:rPr>
      </w:pPr>
      <w:r>
        <w:rPr>
          <w:rFonts w:hint="eastAsia" w:ascii="黑体" w:hAnsi="黑体" w:eastAsia="黑体" w:cs="黑体"/>
          <w:b/>
          <w:i w:val="0"/>
          <w:caps w:val="0"/>
          <w:color w:val="333333"/>
          <w:spacing w:val="0"/>
          <w:sz w:val="32"/>
          <w:szCs w:val="32"/>
          <w:shd w:val="clear" w:fill="FFFFFF"/>
          <w:lang w:val="en-US" w:eastAsia="zh-CN"/>
        </w:rPr>
        <w:t>三、收到和处理政府信息公开申请情况</w:t>
      </w:r>
    </w:p>
    <w:tbl>
      <w:tblPr>
        <w:tblStyle w:val="6"/>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0"/>
        <w:gridCol w:w="545"/>
        <w:gridCol w:w="720"/>
        <w:gridCol w:w="675"/>
        <w:gridCol w:w="525"/>
        <w:gridCol w:w="1"/>
        <w:gridCol w:w="7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color w:val="auto"/>
                <w:kern w:val="0"/>
                <w:szCs w:val="21"/>
                <w:highlight w:val="none"/>
              </w:rPr>
            </w:pPr>
            <w:r>
              <w:rPr>
                <w:rFonts w:hint="eastAsia" w:ascii="楷体_GB2312" w:hAnsi="黑体" w:eastAsia="楷体_GB2312"/>
                <w:color w:val="auto"/>
                <w:kern w:val="0"/>
                <w:szCs w:val="21"/>
                <w:highlight w:val="none"/>
              </w:rPr>
              <w:t>（本列数据的勾稽关系为：第一项加第二项之和，</w:t>
            </w:r>
          </w:p>
          <w:p>
            <w:pPr>
              <w:widowControl/>
              <w:jc w:val="center"/>
              <w:rPr>
                <w:rFonts w:ascii="仿宋_GB2312" w:hAnsi="Times New Roman" w:eastAsia="仿宋_GB2312"/>
                <w:color w:val="auto"/>
                <w:szCs w:val="21"/>
                <w:highlight w:val="none"/>
              </w:rPr>
            </w:pPr>
            <w:r>
              <w:rPr>
                <w:rFonts w:hint="eastAsia" w:ascii="楷体_GB2312" w:hAnsi="黑体" w:eastAsia="楷体_GB2312"/>
                <w:color w:val="auto"/>
                <w:kern w:val="0"/>
                <w:szCs w:val="21"/>
                <w:highlight w:val="none"/>
              </w:rPr>
              <w:t>等于第三项加第四项之和）</w:t>
            </w:r>
          </w:p>
        </w:tc>
        <w:tc>
          <w:tcPr>
            <w:tcW w:w="4448" w:type="dxa"/>
            <w:gridSpan w:val="9"/>
            <w:shd w:val="clear" w:color="auto" w:fill="auto"/>
            <w:tcMar>
              <w:left w:w="108" w:type="dxa"/>
              <w:right w:w="108" w:type="dxa"/>
            </w:tcMar>
            <w:vAlign w:val="center"/>
          </w:tcPr>
          <w:p>
            <w:pPr>
              <w:widowControl/>
              <w:spacing w:line="320" w:lineRule="exact"/>
              <w:jc w:val="center"/>
              <w:rPr>
                <w:rFonts w:ascii="黑体" w:hAnsi="黑体" w:eastAsia="黑体"/>
                <w:color w:val="auto"/>
                <w:szCs w:val="21"/>
                <w:highlight w:val="none"/>
              </w:rPr>
            </w:pPr>
            <w:r>
              <w:rPr>
                <w:rFonts w:hint="eastAsia" w:ascii="黑体" w:hAnsi="黑体" w:eastAsia="黑体"/>
                <w:color w:val="auto"/>
                <w:kern w:val="0"/>
                <w:szCs w:val="21"/>
                <w:highlight w:val="none"/>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color w:val="auto"/>
                <w:szCs w:val="21"/>
                <w:highlight w:val="none"/>
              </w:rPr>
            </w:pPr>
          </w:p>
        </w:tc>
        <w:tc>
          <w:tcPr>
            <w:tcW w:w="747" w:type="dxa"/>
            <w:vMerge w:val="restart"/>
            <w:shd w:val="clear" w:color="auto" w:fill="auto"/>
            <w:tcMar>
              <w:left w:w="108" w:type="dxa"/>
              <w:right w:w="108" w:type="dxa"/>
            </w:tcMar>
            <w:vAlign w:val="center"/>
          </w:tcPr>
          <w:p>
            <w:pPr>
              <w:widowControl/>
              <w:jc w:val="center"/>
              <w:rPr>
                <w:rFonts w:ascii="黑体" w:hAnsi="黑体" w:eastAsia="黑体"/>
                <w:color w:val="auto"/>
                <w:szCs w:val="21"/>
                <w:highlight w:val="none"/>
              </w:rPr>
            </w:pPr>
            <w:r>
              <w:rPr>
                <w:rFonts w:hint="eastAsia" w:ascii="黑体" w:hAnsi="黑体" w:eastAsia="黑体"/>
                <w:color w:val="auto"/>
                <w:kern w:val="0"/>
                <w:szCs w:val="21"/>
                <w:highlight w:val="none"/>
              </w:rPr>
              <w:t>自然人</w:t>
            </w:r>
          </w:p>
        </w:tc>
        <w:tc>
          <w:tcPr>
            <w:tcW w:w="3000" w:type="dxa"/>
            <w:gridSpan w:val="6"/>
            <w:shd w:val="clear" w:color="auto" w:fill="auto"/>
            <w:tcMar>
              <w:left w:w="108" w:type="dxa"/>
              <w:right w:w="108" w:type="dxa"/>
            </w:tcMar>
            <w:vAlign w:val="center"/>
          </w:tcPr>
          <w:p>
            <w:pPr>
              <w:widowControl/>
              <w:spacing w:line="320" w:lineRule="exact"/>
              <w:jc w:val="center"/>
              <w:rPr>
                <w:rFonts w:ascii="黑体" w:hAnsi="黑体" w:eastAsia="黑体"/>
                <w:color w:val="auto"/>
                <w:szCs w:val="21"/>
                <w:highlight w:val="none"/>
              </w:rPr>
            </w:pPr>
            <w:r>
              <w:rPr>
                <w:rFonts w:hint="eastAsia" w:ascii="黑体" w:hAnsi="黑体" w:eastAsia="黑体"/>
                <w:color w:val="auto"/>
                <w:kern w:val="0"/>
                <w:szCs w:val="21"/>
                <w:highlight w:val="none"/>
              </w:rPr>
              <w:t>法人或其他组织</w:t>
            </w:r>
          </w:p>
        </w:tc>
        <w:tc>
          <w:tcPr>
            <w:tcW w:w="701" w:type="dxa"/>
            <w:gridSpan w:val="2"/>
            <w:vMerge w:val="restart"/>
            <w:shd w:val="clear" w:color="auto" w:fill="auto"/>
            <w:tcMar>
              <w:left w:w="108" w:type="dxa"/>
              <w:right w:w="108" w:type="dxa"/>
            </w:tcMar>
            <w:vAlign w:val="center"/>
          </w:tcPr>
          <w:p>
            <w:pPr>
              <w:widowControl/>
              <w:jc w:val="center"/>
              <w:rPr>
                <w:rFonts w:ascii="黑体" w:hAnsi="黑体" w:eastAsia="黑体"/>
                <w:color w:val="auto"/>
                <w:szCs w:val="21"/>
                <w:highlight w:val="none"/>
              </w:rPr>
            </w:pPr>
            <w:r>
              <w:rPr>
                <w:rFonts w:hint="eastAsia" w:ascii="黑体" w:hAnsi="黑体" w:eastAsia="黑体"/>
                <w:color w:val="auto"/>
                <w:kern w:val="0"/>
                <w:szCs w:val="21"/>
                <w:highlight w:val="none"/>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color w:val="auto"/>
                <w:szCs w:val="21"/>
                <w:highlight w:val="none"/>
              </w:rPr>
            </w:pPr>
          </w:p>
        </w:tc>
        <w:tc>
          <w:tcPr>
            <w:tcW w:w="747" w:type="dxa"/>
            <w:vMerge w:val="continue"/>
            <w:shd w:val="clear" w:color="auto" w:fill="auto"/>
            <w:tcMar>
              <w:left w:w="108" w:type="dxa"/>
              <w:right w:w="108" w:type="dxa"/>
            </w:tcMar>
            <w:vAlign w:val="center"/>
          </w:tcPr>
          <w:p>
            <w:pPr>
              <w:jc w:val="center"/>
              <w:rPr>
                <w:rFonts w:ascii="黑体" w:hAnsi="黑体" w:eastAsia="黑体"/>
                <w:color w:val="auto"/>
                <w:szCs w:val="21"/>
                <w:highlight w:val="none"/>
              </w:rPr>
            </w:pPr>
          </w:p>
        </w:tc>
        <w:tc>
          <w:tcPr>
            <w:tcW w:w="535" w:type="dxa"/>
            <w:gridSpan w:val="2"/>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color w:val="auto"/>
                <w:szCs w:val="21"/>
                <w:highlight w:val="none"/>
              </w:rPr>
            </w:pPr>
            <w:r>
              <w:rPr>
                <w:rFonts w:hint="eastAsia" w:ascii="黑体" w:hAnsi="黑体" w:eastAsia="黑体"/>
                <w:color w:val="auto"/>
                <w:kern w:val="0"/>
                <w:szCs w:val="21"/>
                <w:highlight w:val="none"/>
              </w:rPr>
              <w:t>商业企业</w:t>
            </w:r>
          </w:p>
        </w:tc>
        <w:tc>
          <w:tcPr>
            <w:tcW w:w="545"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color w:val="auto"/>
                <w:szCs w:val="21"/>
                <w:highlight w:val="none"/>
              </w:rPr>
            </w:pPr>
            <w:r>
              <w:rPr>
                <w:rFonts w:hint="eastAsia" w:ascii="黑体" w:hAnsi="黑体" w:eastAsia="黑体"/>
                <w:color w:val="auto"/>
                <w:kern w:val="0"/>
                <w:szCs w:val="21"/>
                <w:highlight w:val="none"/>
              </w:rPr>
              <w:t>科研机构</w:t>
            </w:r>
          </w:p>
        </w:tc>
        <w:tc>
          <w:tcPr>
            <w:tcW w:w="720"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color w:val="auto"/>
                <w:szCs w:val="21"/>
                <w:highlight w:val="none"/>
              </w:rPr>
            </w:pPr>
            <w:r>
              <w:rPr>
                <w:rFonts w:hint="eastAsia" w:ascii="黑体" w:hAnsi="黑体" w:eastAsia="黑体"/>
                <w:color w:val="auto"/>
                <w:kern w:val="0"/>
                <w:szCs w:val="21"/>
                <w:highlight w:val="none"/>
              </w:rPr>
              <w:t>社会公益组织</w:t>
            </w:r>
          </w:p>
        </w:tc>
        <w:tc>
          <w:tcPr>
            <w:tcW w:w="675"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color w:val="auto"/>
                <w:szCs w:val="21"/>
                <w:highlight w:val="none"/>
              </w:rPr>
            </w:pPr>
            <w:r>
              <w:rPr>
                <w:rFonts w:hint="eastAsia" w:ascii="黑体" w:hAnsi="黑体" w:eastAsia="黑体"/>
                <w:color w:val="auto"/>
                <w:kern w:val="0"/>
                <w:szCs w:val="21"/>
                <w:highlight w:val="none"/>
              </w:rPr>
              <w:t>法律服务机构</w:t>
            </w:r>
          </w:p>
        </w:tc>
        <w:tc>
          <w:tcPr>
            <w:tcW w:w="525" w:type="dxa"/>
            <w:shd w:val="clear" w:color="auto" w:fill="auto"/>
            <w:tcMar>
              <w:left w:w="108" w:type="dxa"/>
              <w:right w:w="108" w:type="dxa"/>
            </w:tcMar>
            <w:vAlign w:val="center"/>
          </w:tcPr>
          <w:p>
            <w:pPr>
              <w:widowControl/>
              <w:spacing w:line="360" w:lineRule="exact"/>
              <w:ind w:left="-63" w:leftChars="-30" w:right="-134" w:rightChars="-64"/>
              <w:jc w:val="center"/>
              <w:rPr>
                <w:rFonts w:ascii="黑体" w:hAnsi="黑体" w:eastAsia="黑体"/>
                <w:color w:val="auto"/>
                <w:szCs w:val="21"/>
                <w:highlight w:val="none"/>
              </w:rPr>
            </w:pPr>
            <w:r>
              <w:rPr>
                <w:rFonts w:hint="eastAsia" w:ascii="黑体" w:hAnsi="黑体" w:eastAsia="黑体"/>
                <w:color w:val="auto"/>
                <w:kern w:val="0"/>
                <w:szCs w:val="21"/>
                <w:highlight w:val="none"/>
              </w:rPr>
              <w:t>其他</w:t>
            </w:r>
          </w:p>
        </w:tc>
        <w:tc>
          <w:tcPr>
            <w:tcW w:w="701" w:type="dxa"/>
            <w:gridSpan w:val="2"/>
            <w:vMerge w:val="continue"/>
            <w:shd w:val="clear" w:color="auto" w:fill="auto"/>
            <w:tcMar>
              <w:left w:w="108" w:type="dxa"/>
              <w:right w:w="108" w:type="dxa"/>
            </w:tcMar>
            <w:vAlign w:val="center"/>
          </w:tcPr>
          <w:p>
            <w:pPr>
              <w:jc w:val="center"/>
              <w:rPr>
                <w:rFonts w:ascii="仿宋_GB2312" w:hAnsi="Times New Roman" w:eastAsia="仿宋_GB2312"/>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color w:val="auto"/>
                <w:szCs w:val="21"/>
                <w:highlight w:val="none"/>
              </w:rPr>
            </w:pPr>
            <w:r>
              <w:rPr>
                <w:rFonts w:hint="eastAsia" w:ascii="黑体" w:hAnsi="黑体" w:eastAsia="黑体"/>
                <w:color w:val="auto"/>
                <w:kern w:val="0"/>
                <w:szCs w:val="21"/>
                <w:highlight w:val="none"/>
              </w:rPr>
              <w:t>一、</w:t>
            </w:r>
            <w:bookmarkStart w:id="0" w:name="_Hlk66973412"/>
            <w:r>
              <w:rPr>
                <w:rFonts w:hint="eastAsia" w:ascii="黑体" w:hAnsi="黑体" w:eastAsia="黑体"/>
                <w:color w:val="auto"/>
                <w:kern w:val="0"/>
                <w:szCs w:val="21"/>
                <w:highlight w:val="none"/>
              </w:rPr>
              <w:t>本年新收政府信息公开申请数量</w:t>
            </w:r>
            <w:bookmarkEnd w:id="0"/>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highlight w:val="none"/>
                <w:lang w:val="en-US" w:eastAsia="zh-CN"/>
              </w:rPr>
            </w:pPr>
            <w:r>
              <w:rPr>
                <w:rFonts w:hint="eastAsia" w:ascii="仿宋_GB2312" w:eastAsia="仿宋_GB2312"/>
                <w:color w:val="auto"/>
                <w:szCs w:val="21"/>
                <w:highlight w:val="none"/>
                <w:lang w:val="en-US" w:eastAsia="zh-CN"/>
              </w:rPr>
              <w:t>4</w:t>
            </w:r>
          </w:p>
        </w:tc>
        <w:tc>
          <w:tcPr>
            <w:tcW w:w="53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highlight w:val="none"/>
                <w:lang w:val="en-US" w:eastAsia="zh-CN"/>
              </w:rPr>
            </w:pPr>
            <w:r>
              <w:rPr>
                <w:rFonts w:hint="eastAsia" w:ascii="仿宋_GB2312" w:eastAsia="仿宋_GB2312"/>
                <w:color w:val="auto"/>
                <w:szCs w:val="21"/>
                <w:highlight w:val="none"/>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highlight w:val="none"/>
                <w:lang w:val="en-US" w:eastAsia="zh-CN"/>
              </w:rPr>
            </w:pPr>
            <w:r>
              <w:rPr>
                <w:rFonts w:hint="eastAsia" w:ascii="仿宋_GB2312"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highlight w:val="none"/>
                <w:lang w:val="en-US" w:eastAsia="zh-CN"/>
              </w:rPr>
            </w:pPr>
            <w:r>
              <w:rPr>
                <w:rFonts w:hint="eastAsia" w:ascii="仿宋_GB2312"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highlight w:val="none"/>
                <w:lang w:val="en-US" w:eastAsia="zh-CN"/>
              </w:rPr>
            </w:pPr>
            <w:r>
              <w:rPr>
                <w:rFonts w:hint="eastAsia" w:ascii="仿宋_GB2312"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highlight w:val="none"/>
                <w:lang w:val="en-US" w:eastAsia="zh-CN"/>
              </w:rPr>
            </w:pPr>
            <w:r>
              <w:rPr>
                <w:rFonts w:hint="eastAsia" w:ascii="仿宋_GB2312"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highlight w:val="none"/>
                <w:lang w:val="en-US" w:eastAsia="zh-CN"/>
              </w:rPr>
            </w:pPr>
            <w:r>
              <w:rPr>
                <w:rFonts w:hint="eastAsia" w:ascii="仿宋_GB2312" w:eastAsia="仿宋_GB2312"/>
                <w:color w:val="auto"/>
                <w:szCs w:val="21"/>
                <w:highlight w:val="none"/>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color w:val="auto"/>
                <w:szCs w:val="21"/>
                <w:highlight w:val="none"/>
              </w:rPr>
            </w:pPr>
            <w:r>
              <w:rPr>
                <w:rFonts w:hint="eastAsia" w:ascii="黑体" w:hAnsi="黑体" w:eastAsia="黑体"/>
                <w:color w:val="auto"/>
                <w:kern w:val="0"/>
                <w:szCs w:val="21"/>
                <w:highlight w:val="none"/>
              </w:rPr>
              <w:t>二、上年结转政府信息公开申请数量</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53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color w:val="auto"/>
                <w:szCs w:val="21"/>
                <w:highlight w:val="none"/>
              </w:rPr>
            </w:pPr>
            <w:r>
              <w:rPr>
                <w:rFonts w:hint="eastAsia" w:ascii="黑体" w:hAnsi="黑体" w:eastAsia="黑体"/>
                <w:color w:val="auto"/>
                <w:kern w:val="0"/>
                <w:szCs w:val="21"/>
                <w:highlight w:val="none"/>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color w:val="auto"/>
                <w:szCs w:val="21"/>
                <w:highlight w:val="none"/>
              </w:rPr>
            </w:pPr>
            <w:r>
              <w:rPr>
                <w:rFonts w:hint="eastAsia" w:ascii="黑体" w:hAnsi="黑体" w:eastAsia="黑体"/>
                <w:color w:val="auto"/>
                <w:kern w:val="0"/>
                <w:szCs w:val="21"/>
                <w:highlight w:val="none"/>
              </w:rPr>
              <w:t>（一）予以公开</w:t>
            </w:r>
          </w:p>
        </w:tc>
        <w:tc>
          <w:tcPr>
            <w:tcW w:w="752"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s="Times New Roman"/>
                <w:color w:val="auto"/>
                <w:szCs w:val="21"/>
                <w:highlight w:val="none"/>
                <w:lang w:val="en-US" w:eastAsia="zh-CN" w:bidi="ar-SA"/>
              </w:rPr>
              <w:t>1</w:t>
            </w:r>
          </w:p>
        </w:tc>
        <w:tc>
          <w:tcPr>
            <w:tcW w:w="53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526"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7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s="Times New Roman"/>
                <w:color w:val="auto"/>
                <w:szCs w:val="21"/>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highlight w:val="none"/>
              </w:rPr>
            </w:pPr>
          </w:p>
        </w:tc>
        <w:tc>
          <w:tcPr>
            <w:tcW w:w="4677" w:type="dxa"/>
            <w:gridSpan w:val="2"/>
            <w:shd w:val="clear" w:color="auto" w:fill="auto"/>
            <w:tcMar>
              <w:left w:w="108" w:type="dxa"/>
              <w:right w:w="108" w:type="dxa"/>
            </w:tcMar>
            <w:vAlign w:val="center"/>
          </w:tcPr>
          <w:p>
            <w:pPr>
              <w:widowControl/>
              <w:rPr>
                <w:rFonts w:ascii="黑体" w:hAnsi="黑体" w:eastAsia="黑体"/>
                <w:color w:val="auto"/>
                <w:szCs w:val="21"/>
                <w:highlight w:val="none"/>
              </w:rPr>
            </w:pPr>
            <w:r>
              <w:rPr>
                <w:rFonts w:hint="eastAsia" w:ascii="黑体" w:hAnsi="黑体" w:eastAsia="黑体"/>
                <w:color w:val="auto"/>
                <w:kern w:val="0"/>
                <w:szCs w:val="21"/>
                <w:highlight w:val="none"/>
              </w:rPr>
              <w:t>（二）部分公开（</w:t>
            </w:r>
            <w:bookmarkStart w:id="1" w:name="_Hlk66973981"/>
            <w:r>
              <w:rPr>
                <w:rFonts w:hint="eastAsia" w:ascii="黑体" w:hAnsi="黑体" w:eastAsia="黑体"/>
                <w:color w:val="auto"/>
                <w:kern w:val="0"/>
                <w:szCs w:val="21"/>
                <w:highlight w:val="none"/>
              </w:rPr>
              <w:t>区分处理的，只计这一情形，不计其他情形</w:t>
            </w:r>
            <w:bookmarkEnd w:id="1"/>
            <w:r>
              <w:rPr>
                <w:rFonts w:hint="eastAsia" w:ascii="黑体" w:hAnsi="黑体" w:eastAsia="黑体"/>
                <w:color w:val="auto"/>
                <w:kern w:val="0"/>
                <w:szCs w:val="21"/>
                <w:highlight w:val="none"/>
              </w:rPr>
              <w:t>）</w:t>
            </w:r>
          </w:p>
        </w:tc>
        <w:tc>
          <w:tcPr>
            <w:tcW w:w="752"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53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526"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7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highlight w:val="none"/>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color w:val="auto"/>
                <w:szCs w:val="21"/>
                <w:highlight w:val="none"/>
              </w:rPr>
            </w:pPr>
            <w:r>
              <w:rPr>
                <w:rFonts w:hint="eastAsia" w:ascii="黑体" w:hAnsi="黑体" w:eastAsia="黑体"/>
                <w:color w:val="auto"/>
                <w:kern w:val="0"/>
                <w:szCs w:val="21"/>
                <w:highlight w:val="none"/>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1.属于国家秘密</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3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highlight w:val="none"/>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highlight w:val="none"/>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2.</w:t>
            </w:r>
            <w:bookmarkStart w:id="2" w:name="_Hlk66974104"/>
            <w:r>
              <w:rPr>
                <w:rFonts w:hint="eastAsia" w:ascii="仿宋_GB2312" w:hAnsi="黑体" w:eastAsia="仿宋_GB2312"/>
                <w:color w:val="auto"/>
                <w:kern w:val="0"/>
                <w:szCs w:val="21"/>
                <w:highlight w:val="none"/>
              </w:rPr>
              <w:t>其他法律行政法规禁止公开</w:t>
            </w:r>
            <w:bookmarkEnd w:id="2"/>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3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highlight w:val="none"/>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highlight w:val="none"/>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3.危及“三安全一稳定”</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3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highlight w:val="none"/>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highlight w:val="none"/>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4.</w:t>
            </w:r>
            <w:bookmarkStart w:id="3" w:name="_Hlk66974290"/>
            <w:r>
              <w:rPr>
                <w:rFonts w:hint="eastAsia" w:ascii="仿宋_GB2312" w:hAnsi="黑体" w:eastAsia="仿宋_GB2312"/>
                <w:color w:val="auto"/>
                <w:kern w:val="0"/>
                <w:szCs w:val="21"/>
                <w:highlight w:val="none"/>
              </w:rPr>
              <w:t>保护第三方合法权益</w:t>
            </w:r>
            <w:bookmarkEnd w:id="3"/>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3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highlight w:val="none"/>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highlight w:val="none"/>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5.属于三类内部事务信息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3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highlight w:val="none"/>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highlight w:val="none"/>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6.</w:t>
            </w:r>
            <w:bookmarkStart w:id="4" w:name="_Hlk66974555"/>
            <w:r>
              <w:rPr>
                <w:rFonts w:hint="eastAsia" w:ascii="仿宋_GB2312" w:hAnsi="黑体" w:eastAsia="仿宋_GB2312"/>
                <w:color w:val="auto"/>
                <w:kern w:val="0"/>
                <w:szCs w:val="21"/>
                <w:highlight w:val="none"/>
              </w:rPr>
              <w:t>属于四类过程性信息</w:t>
            </w:r>
            <w:bookmarkEnd w:id="4"/>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3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highlight w:val="none"/>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highlight w:val="none"/>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7.属于行政执法案卷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3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highlight w:val="none"/>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highlight w:val="none"/>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8.</w:t>
            </w:r>
            <w:bookmarkStart w:id="5" w:name="_Hlk66975211"/>
            <w:r>
              <w:rPr>
                <w:rFonts w:hint="eastAsia" w:ascii="仿宋_GB2312" w:hAnsi="黑体" w:eastAsia="仿宋_GB2312"/>
                <w:color w:val="auto"/>
                <w:kern w:val="0"/>
                <w:szCs w:val="21"/>
                <w:highlight w:val="none"/>
              </w:rPr>
              <w:t>属于行政查询事项</w:t>
            </w:r>
            <w:bookmarkEnd w:id="5"/>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eastAsia="仿宋_GB2312"/>
                <w:color w:val="auto"/>
                <w:szCs w:val="21"/>
                <w:highlight w:val="none"/>
                <w:lang w:val="en-US" w:eastAsia="zh-CN"/>
              </w:rPr>
              <w:t>3</w:t>
            </w:r>
          </w:p>
        </w:tc>
        <w:tc>
          <w:tcPr>
            <w:tcW w:w="53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eastAsia="仿宋_GB2312"/>
                <w:color w:val="auto"/>
                <w:szCs w:val="21"/>
                <w:highlight w:val="none"/>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highlight w:val="none"/>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color w:val="auto"/>
                <w:szCs w:val="21"/>
                <w:highlight w:val="none"/>
              </w:rPr>
            </w:pPr>
            <w:r>
              <w:rPr>
                <w:rFonts w:hint="eastAsia" w:ascii="黑体" w:hAnsi="黑体" w:eastAsia="黑体"/>
                <w:color w:val="auto"/>
                <w:kern w:val="0"/>
                <w:szCs w:val="21"/>
                <w:highlight w:val="none"/>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1.本机关不掌握相关政府信息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highlight w:val="none"/>
                <w:lang w:val="en-US"/>
              </w:rPr>
            </w:pPr>
            <w:r>
              <w:rPr>
                <w:rFonts w:hint="eastAsia" w:ascii="仿宋_GB2312" w:eastAsia="仿宋_GB2312"/>
                <w:color w:val="auto"/>
                <w:szCs w:val="21"/>
                <w:highlight w:val="none"/>
                <w:lang w:val="en-US" w:eastAsia="zh-CN"/>
              </w:rPr>
              <w:t>0</w:t>
            </w:r>
          </w:p>
        </w:tc>
        <w:tc>
          <w:tcPr>
            <w:tcW w:w="53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eastAsia="仿宋_GB2312"/>
                <w:color w:val="auto"/>
                <w:szCs w:val="21"/>
                <w:highlight w:val="none"/>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highlight w:val="none"/>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color w:val="auto"/>
                <w:szCs w:val="21"/>
                <w:highlight w:val="none"/>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2.</w:t>
            </w:r>
            <w:bookmarkStart w:id="6" w:name="_Hlk66975392"/>
            <w:r>
              <w:rPr>
                <w:rFonts w:hint="eastAsia" w:ascii="仿宋_GB2312" w:hAnsi="黑体" w:eastAsia="仿宋_GB2312"/>
                <w:color w:val="auto"/>
                <w:kern w:val="0"/>
                <w:szCs w:val="21"/>
                <w:highlight w:val="none"/>
              </w:rPr>
              <w:t>没有现成信息需要另行制作</w:t>
            </w:r>
            <w:bookmarkEnd w:id="6"/>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3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highlight w:val="none"/>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color w:val="auto"/>
                <w:szCs w:val="21"/>
                <w:highlight w:val="none"/>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3.</w:t>
            </w:r>
            <w:bookmarkStart w:id="7" w:name="_Hlk66975466"/>
            <w:r>
              <w:rPr>
                <w:rFonts w:hint="eastAsia" w:ascii="仿宋_GB2312" w:hAnsi="黑体" w:eastAsia="仿宋_GB2312"/>
                <w:color w:val="auto"/>
                <w:kern w:val="0"/>
                <w:szCs w:val="21"/>
                <w:highlight w:val="none"/>
              </w:rPr>
              <w:t>补正后申请内容仍不明确</w:t>
            </w:r>
            <w:bookmarkEnd w:id="7"/>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3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highlight w:val="none"/>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color w:val="auto"/>
                <w:szCs w:val="21"/>
                <w:highlight w:val="none"/>
              </w:rPr>
            </w:pPr>
            <w:r>
              <w:rPr>
                <w:rFonts w:hint="eastAsia" w:ascii="黑体" w:hAnsi="黑体" w:eastAsia="黑体"/>
                <w:color w:val="auto"/>
                <w:kern w:val="0"/>
                <w:szCs w:val="21"/>
                <w:highlight w:val="none"/>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1.</w:t>
            </w:r>
            <w:bookmarkStart w:id="8" w:name="_Hlk66975537"/>
            <w:r>
              <w:rPr>
                <w:rFonts w:hint="eastAsia" w:ascii="仿宋_GB2312" w:hAnsi="黑体" w:eastAsia="仿宋_GB2312"/>
                <w:color w:val="auto"/>
                <w:kern w:val="0"/>
                <w:szCs w:val="21"/>
                <w:highlight w:val="none"/>
              </w:rPr>
              <w:t>信访举报投诉类申请</w:t>
            </w:r>
            <w:bookmarkEnd w:id="8"/>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3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highlight w:val="none"/>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highlight w:val="none"/>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2.重复申请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3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highlight w:val="none"/>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highlight w:val="none"/>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szCs w:val="21"/>
                <w:highlight w:val="none"/>
              </w:rPr>
            </w:pPr>
            <w:r>
              <w:rPr>
                <w:rFonts w:hint="eastAsia" w:ascii="仿宋_GB2312" w:hAnsi="黑体" w:eastAsia="仿宋_GB2312"/>
                <w:color w:val="auto"/>
                <w:kern w:val="0"/>
                <w:szCs w:val="21"/>
                <w:highlight w:val="none"/>
              </w:rPr>
              <w:t>3.要求提供公开出版物</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3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highlight w:val="none"/>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highlight w:val="none"/>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szCs w:val="21"/>
                <w:highlight w:val="none"/>
              </w:rPr>
            </w:pPr>
            <w:r>
              <w:rPr>
                <w:rFonts w:hint="eastAsia" w:ascii="仿宋_GB2312" w:hAnsi="黑体" w:eastAsia="仿宋_GB2312"/>
                <w:color w:val="auto"/>
                <w:kern w:val="0"/>
                <w:szCs w:val="21"/>
                <w:highlight w:val="none"/>
              </w:rPr>
              <w:t>4.无正当理由大量反复申请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3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highlight w:val="none"/>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highlight w:val="none"/>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5.要求行政机关确认或重新</w:t>
            </w:r>
          </w:p>
          <w:p>
            <w:pPr>
              <w:widowControl/>
              <w:spacing w:line="300" w:lineRule="exact"/>
              <w:ind w:firstLine="210" w:firstLineChars="100"/>
              <w:rPr>
                <w:rFonts w:ascii="仿宋_GB2312" w:hAnsi="黑体" w:eastAsia="仿宋_GB2312"/>
                <w:color w:val="auto"/>
                <w:szCs w:val="21"/>
                <w:highlight w:val="none"/>
              </w:rPr>
            </w:pPr>
            <w:r>
              <w:rPr>
                <w:rFonts w:hint="eastAsia" w:ascii="仿宋_GB2312" w:hAnsi="黑体" w:eastAsia="仿宋_GB2312"/>
                <w:color w:val="auto"/>
                <w:kern w:val="0"/>
                <w:szCs w:val="21"/>
                <w:highlight w:val="none"/>
              </w:rPr>
              <w:t>出具已获取信息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3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highlight w:val="none"/>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color w:val="auto"/>
                <w:kern w:val="0"/>
                <w:szCs w:val="21"/>
                <w:highlight w:val="none"/>
              </w:rPr>
            </w:pPr>
            <w:r>
              <w:rPr>
                <w:rFonts w:hint="eastAsia" w:ascii="黑体" w:hAnsi="黑体" w:eastAsia="黑体"/>
                <w:color w:val="auto"/>
                <w:kern w:val="0"/>
                <w:szCs w:val="21"/>
                <w:highlight w:val="none"/>
              </w:rPr>
              <w:t>（六）其他处理</w:t>
            </w:r>
          </w:p>
        </w:tc>
        <w:tc>
          <w:tcPr>
            <w:tcW w:w="2976" w:type="dxa"/>
            <w:shd w:val="clear" w:color="auto" w:fill="auto"/>
            <w:vAlign w:val="center"/>
          </w:tcPr>
          <w:p>
            <w:pPr>
              <w:widowControl/>
              <w:spacing w:line="300" w:lineRule="exact"/>
              <w:rPr>
                <w:rFonts w:ascii="仿宋_GB2312" w:hAnsi="楷体" w:eastAsia="仿宋_GB2312"/>
                <w:color w:val="auto"/>
                <w:highlight w:val="none"/>
              </w:rPr>
            </w:pPr>
            <w:r>
              <w:rPr>
                <w:rFonts w:hint="eastAsia" w:ascii="仿宋_GB2312" w:hAnsi="楷体" w:eastAsia="仿宋_GB2312"/>
                <w:color w:val="auto"/>
                <w:highlight w:val="none"/>
              </w:rPr>
              <w:t>1.申请人无正当理由逾期不补正、行政机关不再处理其政府信息公开申请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3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highlight w:val="none"/>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color w:val="auto"/>
                <w:kern w:val="0"/>
                <w:szCs w:val="21"/>
                <w:highlight w:val="none"/>
              </w:rPr>
            </w:pPr>
          </w:p>
        </w:tc>
        <w:tc>
          <w:tcPr>
            <w:tcW w:w="2976" w:type="dxa"/>
            <w:shd w:val="clear" w:color="auto" w:fill="auto"/>
            <w:vAlign w:val="center"/>
          </w:tcPr>
          <w:p>
            <w:pPr>
              <w:widowControl/>
              <w:spacing w:line="300" w:lineRule="exact"/>
              <w:rPr>
                <w:rFonts w:ascii="仿宋_GB2312" w:hAnsi="黑体" w:eastAsia="仿宋_GB2312"/>
                <w:color w:val="auto"/>
                <w:kern w:val="0"/>
                <w:szCs w:val="21"/>
                <w:highlight w:val="none"/>
              </w:rPr>
            </w:pPr>
            <w:r>
              <w:rPr>
                <w:rFonts w:hint="eastAsia" w:ascii="仿宋_GB2312" w:hAnsi="楷体" w:eastAsia="仿宋_GB2312"/>
                <w:color w:val="auto"/>
                <w:highlight w:val="none"/>
              </w:rPr>
              <w:t>2.申请人逾期未按收费通知要求缴纳费用、行政机关不再处理其政府信息公开申请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53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highlight w:val="none"/>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color w:val="auto"/>
                <w:kern w:val="0"/>
                <w:szCs w:val="21"/>
                <w:highlight w:val="none"/>
              </w:rPr>
            </w:pPr>
          </w:p>
        </w:tc>
        <w:tc>
          <w:tcPr>
            <w:tcW w:w="2976" w:type="dxa"/>
            <w:shd w:val="clear" w:color="auto" w:fill="auto"/>
            <w:vAlign w:val="center"/>
          </w:tcPr>
          <w:p>
            <w:pPr>
              <w:widowControl/>
              <w:spacing w:line="300" w:lineRule="exact"/>
              <w:rPr>
                <w:rFonts w:ascii="仿宋_GB2312" w:hAnsi="黑体" w:eastAsia="仿宋_GB2312"/>
                <w:color w:val="auto"/>
                <w:kern w:val="0"/>
                <w:szCs w:val="21"/>
                <w:highlight w:val="none"/>
              </w:rPr>
            </w:pPr>
            <w:r>
              <w:rPr>
                <w:rFonts w:hint="eastAsia" w:ascii="仿宋_GB2312" w:hAnsi="楷体" w:eastAsia="仿宋_GB2312"/>
                <w:color w:val="auto"/>
                <w:highlight w:val="none"/>
              </w:rPr>
              <w:t>3.其他</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53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highlight w:val="none"/>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color w:val="auto"/>
                <w:kern w:val="0"/>
                <w:szCs w:val="21"/>
                <w:highlight w:val="none"/>
              </w:rPr>
            </w:pPr>
            <w:r>
              <w:rPr>
                <w:rFonts w:hint="eastAsia" w:ascii="黑体" w:hAnsi="黑体" w:eastAsia="黑体"/>
                <w:color w:val="auto"/>
                <w:kern w:val="0"/>
                <w:szCs w:val="21"/>
                <w:highlight w:val="none"/>
              </w:rPr>
              <w:t>（七）总计</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4</w:t>
            </w:r>
          </w:p>
        </w:tc>
        <w:tc>
          <w:tcPr>
            <w:tcW w:w="53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s="Times New Roman"/>
                <w:color w:val="auto"/>
                <w:szCs w:val="21"/>
                <w:highlight w:val="none"/>
                <w:lang w:val="en-US" w:eastAsia="zh-CN" w:bidi="ar-SA"/>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s="Times New Roman"/>
                <w:color w:val="auto"/>
                <w:szCs w:val="21"/>
                <w:highlight w:val="none"/>
                <w:lang w:val="en-US" w:eastAsia="zh-CN" w:bidi="ar-SA"/>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color w:val="auto"/>
                <w:kern w:val="0"/>
                <w:szCs w:val="21"/>
                <w:highlight w:val="none"/>
              </w:rPr>
            </w:pPr>
            <w:r>
              <w:rPr>
                <w:rFonts w:hint="eastAsia" w:ascii="黑体" w:hAnsi="黑体" w:eastAsia="黑体"/>
                <w:color w:val="auto"/>
                <w:kern w:val="0"/>
                <w:szCs w:val="21"/>
                <w:highlight w:val="none"/>
              </w:rPr>
              <w:t>四、结转下年度继续办理</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53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b/>
          <w:i w:val="0"/>
          <w:caps w:val="0"/>
          <w:color w:val="333333"/>
          <w:spacing w:val="0"/>
          <w:sz w:val="32"/>
          <w:szCs w:val="32"/>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黑体" w:hAnsi="黑体" w:eastAsia="黑体" w:cs="黑体"/>
          <w:b/>
          <w:i w:val="0"/>
          <w:caps w:val="0"/>
          <w:color w:val="333333"/>
          <w:spacing w:val="0"/>
          <w:sz w:val="32"/>
          <w:szCs w:val="32"/>
          <w:shd w:val="clear" w:fill="FFFFFF"/>
          <w:lang w:val="en-US" w:eastAsia="zh-CN"/>
        </w:rPr>
      </w:pPr>
      <w:r>
        <w:rPr>
          <w:rFonts w:hint="eastAsia" w:ascii="黑体" w:hAnsi="黑体" w:eastAsia="黑体" w:cs="黑体"/>
          <w:b/>
          <w:i w:val="0"/>
          <w:caps w:val="0"/>
          <w:color w:val="333333"/>
          <w:spacing w:val="0"/>
          <w:sz w:val="32"/>
          <w:szCs w:val="32"/>
          <w:shd w:val="clear" w:fill="FFFFFF"/>
          <w:lang w:val="en-US" w:eastAsia="zh-CN"/>
        </w:rPr>
        <w:t>四、政府信息公开行政复议、行政诉讼情况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color w:val="auto"/>
              </w:rPr>
            </w:pPr>
            <w:r>
              <w:rPr>
                <w:rFonts w:ascii="黑体" w:hAnsi="黑体" w:eastAsia="黑体"/>
                <w:color w:val="auto"/>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color w:val="auto"/>
              </w:rPr>
            </w:pPr>
            <w:r>
              <w:rPr>
                <w:rFonts w:ascii="黑体" w:hAnsi="黑体" w:eastAsia="黑体"/>
                <w:color w:val="auto"/>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ascii="黑体" w:hAnsi="黑体" w:eastAsia="黑体"/>
                <w:color w:val="auto"/>
                <w:kern w:val="0"/>
                <w:sz w:val="20"/>
                <w:szCs w:val="20"/>
              </w:rPr>
            </w:pPr>
            <w:r>
              <w:rPr>
                <w:rFonts w:ascii="黑体" w:hAnsi="黑体" w:eastAsia="黑体"/>
                <w:color w:val="auto"/>
                <w:kern w:val="0"/>
                <w:sz w:val="20"/>
                <w:szCs w:val="20"/>
              </w:rPr>
              <w:t>结果</w:t>
            </w:r>
          </w:p>
          <w:p>
            <w:pPr>
              <w:widowControl/>
              <w:ind w:left="-149" w:leftChars="-71" w:right="-170" w:rightChars="-81"/>
              <w:jc w:val="center"/>
              <w:rPr>
                <w:rFonts w:ascii="黑体" w:hAnsi="黑体" w:eastAsia="黑体"/>
                <w:color w:val="auto"/>
              </w:rPr>
            </w:pPr>
            <w:r>
              <w:rPr>
                <w:rFonts w:ascii="黑体" w:hAnsi="黑体" w:eastAsia="黑体"/>
                <w:color w:val="auto"/>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ascii="黑体" w:hAnsi="黑体" w:eastAsia="黑体"/>
                <w:color w:val="auto"/>
              </w:rPr>
            </w:pPr>
            <w:r>
              <w:rPr>
                <w:rFonts w:ascii="黑体" w:hAnsi="黑体" w:eastAsia="黑体"/>
                <w:color w:val="auto"/>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ascii="黑体" w:hAnsi="黑体" w:eastAsia="黑体"/>
                <w:color w:val="auto"/>
              </w:rPr>
            </w:pPr>
            <w:r>
              <w:rPr>
                <w:rFonts w:ascii="黑体" w:hAnsi="黑体" w:eastAsia="黑体"/>
                <w:color w:val="auto"/>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ascii="黑体" w:hAnsi="黑体" w:eastAsia="黑体"/>
                <w:color w:val="auto"/>
                <w:kern w:val="0"/>
                <w:sz w:val="20"/>
                <w:szCs w:val="20"/>
              </w:rPr>
            </w:pPr>
            <w:r>
              <w:rPr>
                <w:rFonts w:ascii="黑体" w:hAnsi="黑体" w:eastAsia="黑体"/>
                <w:color w:val="auto"/>
                <w:kern w:val="0"/>
                <w:sz w:val="20"/>
                <w:szCs w:val="20"/>
              </w:rPr>
              <w:t>尚未</w:t>
            </w:r>
          </w:p>
          <w:p>
            <w:pPr>
              <w:widowControl/>
              <w:ind w:left="-118" w:leftChars="-56" w:right="-118" w:rightChars="-56"/>
              <w:jc w:val="center"/>
              <w:rPr>
                <w:rFonts w:ascii="黑体" w:hAnsi="黑体" w:eastAsia="黑体"/>
                <w:color w:val="auto"/>
              </w:rPr>
            </w:pPr>
            <w:r>
              <w:rPr>
                <w:rFonts w:ascii="黑体" w:hAnsi="黑体" w:eastAsia="黑体"/>
                <w:color w:val="auto"/>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color w:val="auto"/>
                <w:kern w:val="0"/>
                <w:sz w:val="20"/>
                <w:szCs w:val="20"/>
              </w:rPr>
            </w:pPr>
            <w:r>
              <w:rPr>
                <w:rFonts w:ascii="黑体" w:hAnsi="黑体" w:eastAsia="黑体"/>
                <w:color w:val="auto"/>
                <w:kern w:val="0"/>
                <w:sz w:val="20"/>
                <w:szCs w:val="20"/>
              </w:rPr>
              <w:t>总</w:t>
            </w:r>
          </w:p>
          <w:p>
            <w:pPr>
              <w:widowControl/>
              <w:spacing w:line="320" w:lineRule="exact"/>
              <w:jc w:val="center"/>
              <w:rPr>
                <w:rFonts w:ascii="黑体" w:hAnsi="黑体" w:eastAsia="黑体"/>
                <w:color w:val="auto"/>
              </w:rPr>
            </w:pPr>
            <w:r>
              <w:rPr>
                <w:rFonts w:ascii="黑体" w:hAnsi="黑体" w:eastAsia="黑体"/>
                <w:color w:val="auto"/>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color w:val="auto"/>
              </w:rPr>
            </w:pPr>
            <w:r>
              <w:rPr>
                <w:rFonts w:ascii="黑体" w:hAnsi="黑体" w:eastAsia="黑体"/>
                <w:color w:val="auto"/>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color w:val="auto"/>
              </w:rPr>
            </w:pPr>
            <w:bookmarkStart w:id="9" w:name="_Hlk67039688"/>
            <w:r>
              <w:rPr>
                <w:rFonts w:ascii="黑体" w:hAnsi="黑体" w:eastAsia="黑体"/>
                <w:color w:val="auto"/>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color w:val="auto"/>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color w:val="auto"/>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color w:val="auto"/>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color w:val="auto"/>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color w:val="auto"/>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ascii="黑体" w:hAnsi="黑体" w:eastAsia="黑体"/>
                <w:color w:val="auto"/>
              </w:rPr>
            </w:pPr>
            <w:r>
              <w:rPr>
                <w:rFonts w:ascii="黑体" w:hAnsi="黑体" w:eastAsia="黑体"/>
                <w:color w:val="auto"/>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ascii="黑体" w:hAnsi="黑体" w:eastAsia="黑体"/>
                <w:color w:val="auto"/>
              </w:rPr>
            </w:pPr>
            <w:r>
              <w:rPr>
                <w:rFonts w:ascii="黑体" w:hAnsi="黑体" w:eastAsia="黑体"/>
                <w:color w:val="auto"/>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ascii="黑体" w:hAnsi="黑体" w:eastAsia="黑体"/>
                <w:color w:val="auto"/>
                <w:kern w:val="0"/>
                <w:sz w:val="20"/>
                <w:szCs w:val="20"/>
              </w:rPr>
            </w:pPr>
            <w:r>
              <w:rPr>
                <w:rFonts w:ascii="黑体" w:hAnsi="黑体" w:eastAsia="黑体"/>
                <w:color w:val="auto"/>
                <w:kern w:val="0"/>
                <w:sz w:val="20"/>
                <w:szCs w:val="20"/>
              </w:rPr>
              <w:t>其他</w:t>
            </w:r>
          </w:p>
          <w:p>
            <w:pPr>
              <w:widowControl/>
              <w:ind w:left="-126" w:leftChars="-60" w:right="-136" w:rightChars="-65"/>
              <w:jc w:val="center"/>
              <w:rPr>
                <w:rFonts w:ascii="黑体" w:hAnsi="黑体" w:eastAsia="黑体"/>
                <w:color w:val="auto"/>
              </w:rPr>
            </w:pPr>
            <w:r>
              <w:rPr>
                <w:rFonts w:ascii="黑体" w:hAnsi="黑体" w:eastAsia="黑体"/>
                <w:color w:val="auto"/>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ascii="黑体" w:hAnsi="黑体" w:eastAsia="黑体"/>
                <w:color w:val="auto"/>
                <w:kern w:val="0"/>
                <w:sz w:val="20"/>
                <w:szCs w:val="20"/>
              </w:rPr>
            </w:pPr>
            <w:r>
              <w:rPr>
                <w:rFonts w:ascii="黑体" w:hAnsi="黑体" w:eastAsia="黑体"/>
                <w:color w:val="auto"/>
                <w:kern w:val="0"/>
                <w:sz w:val="20"/>
                <w:szCs w:val="20"/>
              </w:rPr>
              <w:t>尚未</w:t>
            </w:r>
          </w:p>
          <w:p>
            <w:pPr>
              <w:widowControl/>
              <w:ind w:left="-164" w:leftChars="-78" w:right="-153" w:rightChars="-73"/>
              <w:jc w:val="center"/>
              <w:rPr>
                <w:rFonts w:ascii="黑体" w:hAnsi="黑体" w:eastAsia="黑体"/>
                <w:color w:val="auto"/>
              </w:rPr>
            </w:pPr>
            <w:r>
              <w:rPr>
                <w:rFonts w:ascii="黑体" w:hAnsi="黑体" w:eastAsia="黑体"/>
                <w:color w:val="auto"/>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color w:val="auto"/>
              </w:rPr>
            </w:pPr>
            <w:r>
              <w:rPr>
                <w:rFonts w:ascii="黑体" w:hAnsi="黑体" w:eastAsia="黑体"/>
                <w:color w:val="auto"/>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ascii="黑体" w:hAnsi="黑体" w:eastAsia="黑体"/>
                <w:color w:val="auto"/>
              </w:rPr>
            </w:pPr>
            <w:r>
              <w:rPr>
                <w:rFonts w:ascii="黑体" w:hAnsi="黑体" w:eastAsia="黑体"/>
                <w:color w:val="auto"/>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ascii="黑体" w:hAnsi="黑体" w:eastAsia="黑体"/>
                <w:color w:val="auto"/>
                <w:kern w:val="0"/>
                <w:sz w:val="20"/>
                <w:szCs w:val="20"/>
              </w:rPr>
            </w:pPr>
            <w:r>
              <w:rPr>
                <w:rFonts w:ascii="黑体" w:hAnsi="黑体" w:eastAsia="黑体"/>
                <w:color w:val="auto"/>
                <w:kern w:val="0"/>
                <w:sz w:val="20"/>
                <w:szCs w:val="20"/>
              </w:rPr>
              <w:t>结果</w:t>
            </w:r>
          </w:p>
          <w:p>
            <w:pPr>
              <w:widowControl/>
              <w:ind w:left="-136" w:leftChars="-65" w:right="-124" w:rightChars="-59"/>
              <w:jc w:val="center"/>
              <w:rPr>
                <w:rFonts w:ascii="黑体" w:hAnsi="黑体" w:eastAsia="黑体"/>
                <w:color w:val="auto"/>
              </w:rPr>
            </w:pPr>
            <w:r>
              <w:rPr>
                <w:rFonts w:ascii="黑体" w:hAnsi="黑体" w:eastAsia="黑体"/>
                <w:color w:val="auto"/>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ascii="黑体" w:hAnsi="黑体" w:eastAsia="黑体"/>
                <w:color w:val="auto"/>
                <w:kern w:val="0"/>
                <w:sz w:val="20"/>
                <w:szCs w:val="20"/>
              </w:rPr>
            </w:pPr>
            <w:r>
              <w:rPr>
                <w:rFonts w:ascii="黑体" w:hAnsi="黑体" w:eastAsia="黑体"/>
                <w:color w:val="auto"/>
                <w:kern w:val="0"/>
                <w:sz w:val="20"/>
                <w:szCs w:val="20"/>
              </w:rPr>
              <w:t>其他</w:t>
            </w:r>
          </w:p>
          <w:p>
            <w:pPr>
              <w:widowControl/>
              <w:ind w:left="-173" w:leftChars="-83" w:right="-134" w:rightChars="-64" w:hanging="1"/>
              <w:jc w:val="center"/>
              <w:rPr>
                <w:rFonts w:ascii="黑体" w:hAnsi="黑体" w:eastAsia="黑体"/>
                <w:color w:val="auto"/>
              </w:rPr>
            </w:pPr>
            <w:r>
              <w:rPr>
                <w:rFonts w:ascii="黑体" w:hAnsi="黑体" w:eastAsia="黑体"/>
                <w:color w:val="auto"/>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ascii="黑体" w:hAnsi="黑体" w:eastAsia="黑体"/>
                <w:color w:val="auto"/>
              </w:rPr>
            </w:pPr>
            <w:r>
              <w:rPr>
                <w:rFonts w:ascii="黑体" w:hAnsi="黑体" w:eastAsia="黑体"/>
                <w:color w:val="auto"/>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color w:val="auto"/>
              </w:rPr>
            </w:pPr>
            <w:r>
              <w:rPr>
                <w:rFonts w:ascii="黑体" w:hAnsi="黑体" w:eastAsia="黑体"/>
                <w:color w:val="auto"/>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cs="Times New Roman"/>
                <w:color w:val="auto"/>
                <w:lang w:val="en-US" w:eastAsia="zh-CN" w:bidi="ar-SA"/>
              </w:rPr>
            </w:pPr>
            <w:r>
              <w:rPr>
                <w:rFonts w:hint="eastAsia"/>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cs="Times New Roman"/>
                <w:color w:val="auto"/>
                <w:lang w:val="en-US" w:eastAsia="zh-CN" w:bidi="ar-SA"/>
              </w:rPr>
            </w:pPr>
            <w:r>
              <w:rPr>
                <w:rFonts w:hint="eastAsia"/>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cs="Times New Roman"/>
                <w:color w:val="auto"/>
                <w:lang w:val="en-US" w:eastAsia="zh-CN" w:bidi="ar-SA"/>
              </w:rPr>
            </w:pPr>
            <w:r>
              <w:rPr>
                <w:rFonts w:hint="eastAsia"/>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cs="Times New Roman"/>
                <w:color w:val="auto"/>
                <w:highlight w:val="none"/>
                <w:lang w:val="en-US" w:eastAsia="zh-CN" w:bidi="ar-SA"/>
              </w:rPr>
            </w:pPr>
            <w:r>
              <w:rPr>
                <w:rFonts w:hint="eastAsia"/>
                <w:color w:val="auto"/>
                <w:highlight w:val="none"/>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cs="Times New Roman"/>
                <w:color w:val="auto"/>
                <w:highlight w:val="none"/>
                <w:lang w:val="en-US" w:eastAsia="zh-CN" w:bidi="ar-SA"/>
              </w:rPr>
            </w:pPr>
            <w:r>
              <w:rPr>
                <w:rFonts w:hint="eastAsia"/>
                <w:color w:val="auto"/>
                <w:highlight w:val="none"/>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cs="Times New Roman"/>
                <w:color w:val="auto"/>
                <w:lang w:val="en-US" w:eastAsia="zh-CN" w:bidi="ar-SA"/>
              </w:rPr>
            </w:pPr>
            <w:r>
              <w:rPr>
                <w:rFonts w:hint="eastAsia"/>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cs="Times New Roman"/>
                <w:color w:val="auto"/>
                <w:lang w:val="en-US" w:eastAsia="zh-CN" w:bidi="ar-SA"/>
              </w:rPr>
            </w:pPr>
            <w:r>
              <w:rPr>
                <w:rFonts w:hint="eastAsia"/>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color w:val="auto"/>
                <w:lang w:val="en-US" w:eastAsia="zh-CN"/>
              </w:rPr>
            </w:pPr>
            <w:r>
              <w:rPr>
                <w:rFonts w:hint="eastAsia"/>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color w:val="auto"/>
                <w:lang w:val="en-US" w:eastAsia="zh-CN"/>
              </w:rPr>
            </w:pPr>
            <w:r>
              <w:rPr>
                <w:rFonts w:hint="eastAsia"/>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color w:val="auto"/>
                <w:lang w:val="en-US" w:eastAsia="zh-CN"/>
              </w:rPr>
            </w:pPr>
            <w:r>
              <w:rPr>
                <w:rFonts w:hint="eastAsia"/>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rPr>
                <w:rFonts w:hint="eastAsia" w:ascii="Times New Roman" w:hAnsi="Times New Roman" w:eastAsia="宋体"/>
                <w:color w:val="auto"/>
                <w:lang w:val="en-US" w:eastAsia="zh-CN"/>
              </w:rPr>
            </w:pPr>
            <w:r>
              <w:rPr>
                <w:rFonts w:hint="eastAsia"/>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color w:val="auto"/>
                <w:lang w:val="en-US" w:eastAsia="zh-CN"/>
              </w:rPr>
            </w:pPr>
            <w:r>
              <w:rPr>
                <w:rFonts w:hint="eastAsia"/>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color w:val="auto"/>
                <w:lang w:val="en-US" w:eastAsia="zh-CN"/>
              </w:rPr>
            </w:pPr>
            <w:r>
              <w:rPr>
                <w:rFonts w:hint="eastAsia"/>
                <w:color w:val="auto"/>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color w:val="auto"/>
                <w:lang w:val="en-US" w:eastAsia="zh-CN"/>
              </w:rPr>
            </w:pPr>
            <w:r>
              <w:rPr>
                <w:rFonts w:hint="eastAsia"/>
                <w:color w:val="auto"/>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color w:val="auto"/>
                <w:lang w:val="en-US" w:eastAsia="zh-CN"/>
              </w:rPr>
            </w:pPr>
            <w:r>
              <w:rPr>
                <w:rFonts w:hint="eastAsia"/>
                <w:color w:val="auto"/>
                <w:lang w:val="en-US" w:eastAsia="zh-CN"/>
              </w:rPr>
              <w:t>0</w:t>
            </w:r>
          </w:p>
        </w:tc>
      </w:tr>
    </w:tbl>
    <w:p>
      <w:pPr>
        <w:numPr>
          <w:ilvl w:val="0"/>
          <w:numId w:val="0"/>
        </w:numPr>
        <w:jc w:val="left"/>
        <w:rPr>
          <w:rStyle w:val="8"/>
          <w:rFonts w:hint="eastAsia" w:ascii="方正黑体简体" w:hAnsi="方正黑体简体" w:eastAsia="方正黑体简体" w:cs="方正黑体简体"/>
          <w:i w:val="0"/>
          <w:iCs w:val="0"/>
          <w:caps w:val="0"/>
          <w:color w:val="000000"/>
          <w:spacing w:val="0"/>
          <w:kern w:val="0"/>
          <w:sz w:val="31"/>
          <w:szCs w:val="31"/>
          <w:shd w:val="clear" w:fill="FFFFFF"/>
          <w:lang w:val="en-US" w:eastAsia="zh-CN" w:bidi="ar"/>
        </w:rPr>
      </w:pPr>
      <w:r>
        <w:rPr>
          <w:rStyle w:val="8"/>
          <w:rFonts w:hint="eastAsia" w:ascii="方正黑体简体" w:hAnsi="方正黑体简体" w:eastAsia="方正黑体简体" w:cs="方正黑体简体"/>
          <w:i w:val="0"/>
          <w:iCs w:val="0"/>
          <w:caps w:val="0"/>
          <w:color w:val="000000"/>
          <w:spacing w:val="0"/>
          <w:kern w:val="0"/>
          <w:sz w:val="31"/>
          <w:szCs w:val="31"/>
          <w:shd w:val="clear" w:fill="FFFFFF"/>
          <w:lang w:val="en-US" w:eastAsia="zh-CN" w:bidi="ar"/>
        </w:rPr>
        <w:t xml:space="preserve">    五、存在的主要问题及改进情况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1"/>
        <w:jc w:val="left"/>
        <w:textAlignment w:val="auto"/>
        <w:rPr>
          <w:rStyle w:val="8"/>
          <w:rFonts w:hint="default" w:ascii="Times New Roman" w:hAnsi="Times New Roman" w:eastAsia="方正仿宋简体" w:cs="Times New Roman"/>
          <w:i w:val="0"/>
          <w:iCs w:val="0"/>
          <w:caps w:val="0"/>
          <w:color w:val="000000"/>
          <w:spacing w:val="0"/>
          <w:kern w:val="0"/>
          <w:sz w:val="32"/>
          <w:szCs w:val="32"/>
          <w:shd w:val="clear" w:fill="FFFFFF"/>
          <w:lang w:val="en-US" w:eastAsia="zh-CN" w:bidi="ar"/>
        </w:rPr>
      </w:pPr>
      <w:r>
        <w:rPr>
          <w:rStyle w:val="8"/>
          <w:rFonts w:hint="default" w:ascii="Times New Roman" w:hAnsi="Times New Roman" w:eastAsia="方正仿宋简体" w:cs="Times New Roman"/>
          <w:i w:val="0"/>
          <w:iCs w:val="0"/>
          <w:caps w:val="0"/>
          <w:color w:val="000000"/>
          <w:spacing w:val="0"/>
          <w:kern w:val="0"/>
          <w:sz w:val="32"/>
          <w:szCs w:val="32"/>
          <w:shd w:val="clear" w:fill="FFFFFF"/>
          <w:lang w:val="en-US" w:eastAsia="zh-CN" w:bidi="ar"/>
        </w:rPr>
        <w:t>2022年，我局在政府信息公开工作中仍存在一些问题，政务信息公开工作人员业务能力有待提升。下一步，我局将采取以下措施加以改进和完善：一是进一步加大信息公开工作队伍建设力度。加强人员培训，提升干部职工对政府信息公开工作的认识，不断提升政府信息公开整体工作水平；二是进一步加强信息公开载体建设。充分发挥网站及官方微信公众号等新媒体的作用，重点推进以社会需求和社会公众密切相关的政府信息公开；三是进一步提升政策解读发布质量。对政策文件的制定背景、目标任务、主要任务等要素进行解读的基础上，采取图解、漫画、音频、视频等形式进行解读，积极拓宽发布渠道，全面阐释各项政策举措及其效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1"/>
        <w:jc w:val="left"/>
        <w:textAlignment w:val="auto"/>
        <w:rPr>
          <w:rFonts w:hint="default" w:ascii="Times New Roman" w:hAnsi="Times New Roman" w:eastAsia="方正仿宋简体" w:cs="Times New Roman"/>
          <w:b/>
          <w:bCs/>
          <w:i w:val="0"/>
          <w:iCs w:val="0"/>
          <w:caps w:val="0"/>
          <w:color w:val="000000" w:themeColor="text1"/>
          <w:spacing w:val="0"/>
          <w:kern w:val="0"/>
          <w:sz w:val="32"/>
          <w:szCs w:val="32"/>
          <w:lang w:val="en-US" w:eastAsia="zh-CN" w:bidi="ar"/>
          <w14:textFill>
            <w14:solidFill>
              <w14:schemeClr w14:val="tx1"/>
            </w14:solidFill>
          </w14:textFill>
        </w:rPr>
      </w:pPr>
      <w:r>
        <w:rPr>
          <w:rStyle w:val="8"/>
          <w:rFonts w:hint="eastAsia" w:ascii="方正黑体简体" w:hAnsi="方正黑体简体" w:eastAsia="方正黑体简体" w:cs="方正黑体简体"/>
          <w:b/>
          <w:bCs/>
          <w:i w:val="0"/>
          <w:iCs w:val="0"/>
          <w:caps w:val="0"/>
          <w:color w:val="000000" w:themeColor="text1"/>
          <w:spacing w:val="0"/>
          <w:kern w:val="0"/>
          <w:sz w:val="32"/>
          <w:szCs w:val="32"/>
          <w:lang w:val="en-US" w:eastAsia="zh-CN" w:bidi="ar"/>
          <w14:textFill>
            <w14:solidFill>
              <w14:schemeClr w14:val="tx1"/>
            </w14:solidFill>
          </w14:textFill>
        </w:rPr>
        <w:t>六、其他需要报告的事项</w:t>
      </w:r>
    </w:p>
    <w:p>
      <w:pPr>
        <w:spacing w:line="590" w:lineRule="exact"/>
        <w:ind w:right="-105" w:rightChars="-50" w:firstLine="643" w:firstLineChars="200"/>
        <w:rPr>
          <w:rFonts w:hint="eastAsia" w:ascii="方正楷体简体" w:hAnsi="Times New Roman" w:eastAsia="方正楷体简体" w:cs="Times New Roman"/>
          <w:b/>
          <w:color w:val="000000" w:themeColor="text1"/>
          <w:kern w:val="0"/>
          <w:sz w:val="32"/>
          <w:szCs w:val="32"/>
          <w:lang w:eastAsia="zh-CN"/>
          <w14:textFill>
            <w14:solidFill>
              <w14:schemeClr w14:val="tx1"/>
            </w14:solidFill>
          </w14:textFill>
        </w:rPr>
      </w:pPr>
      <w:r>
        <w:rPr>
          <w:rFonts w:hint="eastAsia" w:asciiTheme="minorEastAsia" w:hAnsiTheme="minorEastAsia" w:eastAsiaTheme="minorEastAsia" w:cstheme="minorEastAsia"/>
          <w:b/>
          <w:color w:val="000000" w:themeColor="text1"/>
          <w:kern w:val="0"/>
          <w:sz w:val="32"/>
          <w:szCs w:val="32"/>
          <w14:textFill>
            <w14:solidFill>
              <w14:schemeClr w14:val="tx1"/>
            </w14:solidFill>
          </w14:textFill>
        </w:rPr>
        <w:t>（一）</w:t>
      </w:r>
      <w:r>
        <w:rPr>
          <w:rFonts w:hint="eastAsia" w:ascii="方正楷体简体" w:hAnsi="Times New Roman" w:eastAsia="方正楷体简体" w:cs="Times New Roman"/>
          <w:b/>
          <w:color w:val="000000" w:themeColor="text1"/>
          <w:kern w:val="0"/>
          <w:sz w:val="32"/>
          <w:szCs w:val="32"/>
          <w14:textFill>
            <w14:solidFill>
              <w14:schemeClr w14:val="tx1"/>
            </w14:solidFill>
          </w14:textFill>
        </w:rPr>
        <w:t>依据《政府信息公开信息处理费管理办法》收取信息处理费的情况</w:t>
      </w:r>
    </w:p>
    <w:p>
      <w:pPr>
        <w:spacing w:line="590" w:lineRule="exact"/>
        <w:ind w:right="-105" w:rightChars="-50" w:firstLine="643" w:firstLineChars="200"/>
        <w:rPr>
          <w:rFonts w:hint="eastAsia" w:ascii="方正仿宋简体" w:hAnsi="宋体" w:eastAsia="方正仿宋简体" w:cs="宋体"/>
          <w:b/>
          <w:bCs/>
          <w:kern w:val="0"/>
          <w:sz w:val="32"/>
          <w:szCs w:val="32"/>
          <w:lang w:val="en-US" w:eastAsia="zh-CN"/>
        </w:rPr>
      </w:pPr>
      <w:r>
        <w:rPr>
          <w:rFonts w:hint="eastAsia" w:ascii="方正仿宋简体" w:hAnsi="宋体" w:eastAsia="方正仿宋简体" w:cs="宋体"/>
          <w:b/>
          <w:bCs/>
          <w:kern w:val="0"/>
          <w:sz w:val="32"/>
          <w:szCs w:val="32"/>
          <w:lang w:val="en-US" w:eastAsia="zh-CN"/>
        </w:rPr>
        <w:t>2022年本单位未产生信息公开处理费。</w:t>
      </w:r>
    </w:p>
    <w:p>
      <w:pPr>
        <w:numPr>
          <w:ilvl w:val="0"/>
          <w:numId w:val="2"/>
        </w:numPr>
        <w:spacing w:line="590" w:lineRule="exact"/>
        <w:ind w:right="-105" w:rightChars="-50" w:firstLine="643" w:firstLineChars="200"/>
        <w:rPr>
          <w:rFonts w:hint="eastAsia" w:ascii="方正楷体简体" w:hAnsi="Times New Roman" w:eastAsia="方正楷体简体" w:cs="Times New Roman"/>
          <w:b/>
          <w:color w:val="000000" w:themeColor="text1"/>
          <w:kern w:val="0"/>
          <w:sz w:val="32"/>
          <w:szCs w:val="32"/>
          <w:lang w:eastAsia="zh-CN"/>
          <w14:textFill>
            <w14:solidFill>
              <w14:schemeClr w14:val="tx1"/>
            </w14:solidFill>
          </w14:textFill>
        </w:rPr>
      </w:pPr>
      <w:r>
        <w:rPr>
          <w:rFonts w:hint="eastAsia" w:ascii="方正楷体简体" w:hAnsi="Times New Roman" w:eastAsia="方正楷体简体" w:cs="Times New Roman"/>
          <w:b/>
          <w:color w:val="000000" w:themeColor="text1"/>
          <w:kern w:val="0"/>
          <w:sz w:val="32"/>
          <w:szCs w:val="32"/>
          <w:lang w:eastAsia="zh-CN"/>
          <w14:textFill>
            <w14:solidFill>
              <w14:schemeClr w14:val="tx1"/>
            </w14:solidFill>
          </w14:textFill>
        </w:rPr>
        <w:t>落实上级年度政务公开工作要点情况</w:t>
      </w:r>
    </w:p>
    <w:p>
      <w:pPr>
        <w:numPr>
          <w:ilvl w:val="0"/>
          <w:numId w:val="0"/>
        </w:numPr>
        <w:spacing w:line="590" w:lineRule="exact"/>
        <w:ind w:right="-105" w:rightChars="-50" w:firstLine="643" w:firstLineChars="200"/>
        <w:rPr>
          <w:rFonts w:hint="eastAsia" w:ascii="方正楷体简体" w:hAnsi="Times New Roman" w:eastAsia="方正楷体简体" w:cs="Times New Roman"/>
          <w:b/>
          <w:color w:val="000000" w:themeColor="text1"/>
          <w:kern w:val="0"/>
          <w:sz w:val="32"/>
          <w:szCs w:val="32"/>
          <w:lang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本部门已按照</w:t>
      </w:r>
      <w:r>
        <w:rPr>
          <w:rFonts w:hint="default" w:ascii="Times New Roman" w:hAnsi="Times New Roman" w:eastAsia="方正仿宋简体" w:cs="Times New Roman"/>
          <w:b/>
          <w:sz w:val="32"/>
          <w:szCs w:val="32"/>
        </w:rPr>
        <w:t>上级年度政务公开工作要点</w:t>
      </w:r>
      <w:r>
        <w:rPr>
          <w:rFonts w:hint="eastAsia" w:ascii="Times New Roman" w:hAnsi="Times New Roman" w:eastAsia="方正仿宋简体" w:cs="Times New Roman"/>
          <w:b/>
          <w:sz w:val="32"/>
          <w:szCs w:val="32"/>
          <w:lang w:eastAsia="zh-CN"/>
        </w:rPr>
        <w:t>，结合本部门政务公开工作实际情况，已逐项梳理发布。</w:t>
      </w:r>
    </w:p>
    <w:p>
      <w:pPr>
        <w:numPr>
          <w:ilvl w:val="0"/>
          <w:numId w:val="2"/>
        </w:numPr>
        <w:spacing w:line="590" w:lineRule="exact"/>
        <w:ind w:right="-105" w:rightChars="-50" w:firstLine="643" w:firstLineChars="200"/>
        <w:rPr>
          <w:rFonts w:hint="eastAsia" w:ascii="方正楷体简体" w:hAnsi="Times New Roman" w:eastAsia="方正楷体简体" w:cs="Times New Roman"/>
          <w:b/>
          <w:color w:val="000000" w:themeColor="text1"/>
          <w:kern w:val="0"/>
          <w:sz w:val="32"/>
          <w:szCs w:val="32"/>
          <w:lang w:eastAsia="zh-CN"/>
          <w14:textFill>
            <w14:solidFill>
              <w14:schemeClr w14:val="tx1"/>
            </w14:solidFill>
          </w14:textFill>
        </w:rPr>
      </w:pPr>
      <w:r>
        <w:rPr>
          <w:rFonts w:hint="eastAsia" w:ascii="方正楷体简体" w:hAnsi="Times New Roman" w:eastAsia="方正楷体简体" w:cs="Times New Roman"/>
          <w:b/>
          <w:color w:val="000000" w:themeColor="text1"/>
          <w:kern w:val="0"/>
          <w:sz w:val="32"/>
          <w:szCs w:val="32"/>
          <w:lang w:eastAsia="zh-CN"/>
          <w14:textFill>
            <w14:solidFill>
              <w14:schemeClr w14:val="tx1"/>
            </w14:solidFill>
          </w14:textFill>
        </w:rPr>
        <w:t>本年度人大代表建议和政协提案办理结果公开情况情况</w:t>
      </w:r>
    </w:p>
    <w:p>
      <w:pPr>
        <w:spacing w:line="590" w:lineRule="exact"/>
        <w:ind w:right="-105" w:rightChars="-50" w:firstLine="643" w:firstLineChars="200"/>
        <w:rPr>
          <w:rFonts w:hint="default" w:ascii="方正仿宋简体" w:hAnsi="宋体" w:eastAsia="方正仿宋简体" w:cs="宋体"/>
          <w:b/>
          <w:bCs/>
          <w:kern w:val="0"/>
          <w:sz w:val="32"/>
          <w:szCs w:val="32"/>
          <w:lang w:val="en-US" w:eastAsia="zh-CN"/>
        </w:rPr>
      </w:pPr>
      <w:r>
        <w:rPr>
          <w:rFonts w:hint="eastAsia" w:ascii="方正仿宋简体" w:hAnsi="宋体" w:eastAsia="方正仿宋简体" w:cs="宋体"/>
          <w:b/>
          <w:bCs/>
          <w:kern w:val="0"/>
          <w:sz w:val="32"/>
          <w:szCs w:val="32"/>
          <w:lang w:val="en-US" w:eastAsia="zh-CN"/>
        </w:rPr>
        <w:t>2022年本单位未收到人大代表建议和政协提案。</w:t>
      </w:r>
    </w:p>
    <w:p>
      <w:pPr>
        <w:numPr>
          <w:ilvl w:val="0"/>
          <w:numId w:val="2"/>
        </w:numPr>
        <w:spacing w:line="590" w:lineRule="exact"/>
        <w:ind w:left="0" w:leftChars="0" w:right="-105" w:rightChars="-50" w:firstLine="643" w:firstLineChars="200"/>
        <w:rPr>
          <w:rFonts w:hint="eastAsia" w:ascii="方正楷体简体" w:hAnsi="Times New Roman" w:eastAsia="方正楷体简体" w:cs="Times New Roman"/>
          <w:b/>
          <w:color w:val="000000" w:themeColor="text1"/>
          <w:kern w:val="0"/>
          <w:sz w:val="32"/>
          <w:szCs w:val="32"/>
          <w:lang w:val="en-US" w:eastAsia="zh-CN"/>
          <w14:textFill>
            <w14:solidFill>
              <w14:schemeClr w14:val="tx1"/>
            </w14:solidFill>
          </w14:textFill>
        </w:rPr>
      </w:pPr>
      <w:r>
        <w:rPr>
          <w:rFonts w:hint="eastAsia" w:ascii="方正楷体简体" w:hAnsi="Times New Roman" w:eastAsia="方正楷体简体" w:cs="Times New Roman"/>
          <w:b/>
          <w:color w:val="000000" w:themeColor="text1"/>
          <w:kern w:val="0"/>
          <w:sz w:val="32"/>
          <w:szCs w:val="32"/>
          <w:lang w:val="en-US" w:eastAsia="zh-CN"/>
          <w14:textFill>
            <w14:solidFill>
              <w14:schemeClr w14:val="tx1"/>
            </w14:solidFill>
          </w14:textFill>
        </w:rPr>
        <w:t>本年度政务公开工作创新情况</w:t>
      </w:r>
    </w:p>
    <w:p>
      <w:pPr>
        <w:spacing w:line="590" w:lineRule="exact"/>
        <w:ind w:right="-105" w:rightChars="-50" w:firstLine="643" w:firstLineChars="200"/>
        <w:rPr>
          <w:rFonts w:hint="eastAsia"/>
          <w:lang w:val="en-US" w:eastAsia="zh-CN"/>
        </w:rPr>
      </w:pPr>
      <w:r>
        <w:rPr>
          <w:rFonts w:hint="eastAsia" w:ascii="Times New Roman" w:hAnsi="Times New Roman" w:eastAsia="方正仿宋简体" w:cs="Times New Roman"/>
          <w:b/>
          <w:sz w:val="32"/>
          <w:szCs w:val="32"/>
          <w:lang w:eastAsia="zh-CN"/>
        </w:rPr>
        <w:t>制定</w:t>
      </w:r>
      <w:r>
        <w:rPr>
          <w:rFonts w:hint="eastAsia" w:ascii="方正仿宋简体" w:eastAsia="方正仿宋简体"/>
          <w:b/>
          <w:color w:val="000000" w:themeColor="text1"/>
          <w:sz w:val="32"/>
          <w:szCs w:val="32"/>
          <w:lang w:val="en-US" w:eastAsia="zh-CN"/>
          <w14:textFill>
            <w14:solidFill>
              <w14:schemeClr w14:val="tx1"/>
            </w14:solidFill>
          </w14:textFill>
        </w:rPr>
        <w:t>曲阜市市场监管业务操作规范，行政许可事项业务办理实行标准化、规范化、人性化办理。</w:t>
      </w:r>
    </w:p>
    <w:p>
      <w:pPr>
        <w:numPr>
          <w:ilvl w:val="0"/>
          <w:numId w:val="2"/>
        </w:numPr>
        <w:spacing w:line="590" w:lineRule="exact"/>
        <w:ind w:left="0" w:leftChars="0" w:right="-105" w:rightChars="-50" w:firstLine="643" w:firstLineChars="200"/>
        <w:rPr>
          <w:rFonts w:hint="eastAsia" w:ascii="方正楷体简体" w:hAnsi="Times New Roman" w:eastAsia="方正楷体简体" w:cs="Times New Roman"/>
          <w:b/>
          <w:color w:val="000000" w:themeColor="text1"/>
          <w:kern w:val="0"/>
          <w:sz w:val="32"/>
          <w:szCs w:val="32"/>
          <w:lang w:val="en-US" w:eastAsia="zh-CN"/>
          <w14:textFill>
            <w14:solidFill>
              <w14:schemeClr w14:val="tx1"/>
            </w14:solidFill>
          </w14:textFill>
        </w:rPr>
      </w:pPr>
      <w:r>
        <w:rPr>
          <w:rFonts w:hint="eastAsia" w:ascii="方正楷体简体" w:hAnsi="Times New Roman" w:eastAsia="方正楷体简体" w:cs="Times New Roman"/>
          <w:b/>
          <w:color w:val="000000" w:themeColor="text1"/>
          <w:kern w:val="0"/>
          <w:sz w:val="32"/>
          <w:szCs w:val="32"/>
          <w:lang w:val="en-US" w:eastAsia="zh-CN"/>
          <w14:textFill>
            <w14:solidFill>
              <w14:schemeClr w14:val="tx1"/>
            </w14:solidFill>
          </w14:textFill>
        </w:rPr>
        <w:t>本年度</w:t>
      </w:r>
      <w:r>
        <w:rPr>
          <w:rFonts w:hint="default" w:ascii="方正楷体简体" w:hAnsi="Times New Roman" w:eastAsia="方正楷体简体" w:cs="Times New Roman"/>
          <w:b/>
          <w:color w:val="000000" w:themeColor="text1"/>
          <w:kern w:val="0"/>
          <w:sz w:val="32"/>
          <w:szCs w:val="32"/>
          <w:lang w:val="en-US" w:eastAsia="zh-CN"/>
          <w14:textFill>
            <w14:solidFill>
              <w14:schemeClr w14:val="tx1"/>
            </w14:solidFill>
          </w14:textFill>
        </w:rPr>
        <w:t>信息公开工作年度报告数据统计需要说明的事项</w:t>
      </w:r>
    </w:p>
    <w:p>
      <w:pPr>
        <w:pStyle w:val="5"/>
        <w:wordWrap w:val="0"/>
        <w:ind w:firstLine="643" w:firstLineChars="200"/>
        <w:rPr>
          <w:rFonts w:hint="default" w:ascii="Times New Roman" w:hAnsi="Times New Roman" w:eastAsia="方正仿宋简体" w:cs="方正仿宋简体"/>
          <w:b/>
          <w:bCs/>
          <w:kern w:val="0"/>
          <w:sz w:val="32"/>
          <w:szCs w:val="32"/>
          <w:lang w:val="en-US" w:eastAsia="zh-CN"/>
        </w:rPr>
      </w:pPr>
      <w:r>
        <w:rPr>
          <w:rFonts w:hint="eastAsia" w:ascii="Times New Roman" w:hAnsi="Times New Roman" w:eastAsia="方正仿宋简体" w:cs="方正仿宋简体"/>
          <w:b/>
          <w:bCs/>
          <w:kern w:val="0"/>
          <w:sz w:val="32"/>
          <w:szCs w:val="32"/>
          <w:lang w:val="en-US" w:eastAsia="zh-CN"/>
        </w:rPr>
        <w:t>无</w:t>
      </w:r>
    </w:p>
    <w:p>
      <w:pPr>
        <w:numPr>
          <w:ilvl w:val="0"/>
          <w:numId w:val="2"/>
        </w:numPr>
        <w:spacing w:line="590" w:lineRule="exact"/>
        <w:ind w:left="0" w:leftChars="0" w:right="-105" w:rightChars="-50" w:firstLine="643" w:firstLineChars="200"/>
        <w:rPr>
          <w:rFonts w:hint="eastAsia" w:ascii="方正楷体简体" w:hAnsi="Times New Roman" w:eastAsia="方正楷体简体" w:cs="Times New Roman"/>
          <w:b/>
          <w:color w:val="000000" w:themeColor="text1"/>
          <w:kern w:val="0"/>
          <w:sz w:val="32"/>
          <w:szCs w:val="32"/>
          <w:lang w:val="en-US" w:eastAsia="zh-CN"/>
          <w14:textFill>
            <w14:solidFill>
              <w14:schemeClr w14:val="tx1"/>
            </w14:solidFill>
          </w14:textFill>
        </w:rPr>
      </w:pPr>
      <w:r>
        <w:rPr>
          <w:rFonts w:hint="default" w:ascii="方正楷体简体" w:hAnsi="Times New Roman" w:eastAsia="方正楷体简体" w:cs="Times New Roman"/>
          <w:b/>
          <w:color w:val="000000" w:themeColor="text1"/>
          <w:kern w:val="0"/>
          <w:sz w:val="32"/>
          <w:szCs w:val="32"/>
          <w:lang w:val="en-US" w:eastAsia="zh-CN"/>
          <w14:textFill>
            <w14:solidFill>
              <w14:schemeClr w14:val="tx1"/>
            </w14:solidFill>
          </w14:textFill>
        </w:rPr>
        <w:t>需要报告的其他事项</w:t>
      </w:r>
    </w:p>
    <w:p>
      <w:pPr>
        <w:pStyle w:val="5"/>
        <w:wordWrap w:val="0"/>
        <w:ind w:firstLine="643" w:firstLineChars="200"/>
        <w:rPr>
          <w:rFonts w:hint="eastAsia"/>
          <w:kern w:val="0"/>
          <w:sz w:val="20"/>
          <w:szCs w:val="20"/>
          <w:lang w:val="en-US" w:eastAsia="zh-CN"/>
        </w:rPr>
      </w:pPr>
      <w:r>
        <w:rPr>
          <w:rFonts w:hint="eastAsia" w:ascii="Times New Roman" w:hAnsi="Times New Roman" w:eastAsia="方正仿宋简体" w:cs="方正仿宋简体"/>
          <w:b/>
          <w:bCs/>
          <w:kern w:val="0"/>
          <w:sz w:val="32"/>
          <w:szCs w:val="32"/>
          <w:lang w:val="en-US" w:eastAsia="zh-CN"/>
        </w:rPr>
        <w:t>无</w:t>
      </w:r>
    </w:p>
    <w:p>
      <w:pPr>
        <w:numPr>
          <w:ilvl w:val="0"/>
          <w:numId w:val="2"/>
        </w:numPr>
        <w:spacing w:line="590" w:lineRule="exact"/>
        <w:ind w:left="0" w:leftChars="0" w:right="-105" w:rightChars="-50" w:firstLine="643" w:firstLineChars="200"/>
        <w:rPr>
          <w:rFonts w:hint="eastAsia" w:ascii="方正楷体简体" w:hAnsi="Times New Roman" w:eastAsia="方正楷体简体" w:cs="Times New Roman"/>
          <w:b/>
          <w:color w:val="000000" w:themeColor="text1"/>
          <w:kern w:val="0"/>
          <w:sz w:val="32"/>
          <w:szCs w:val="32"/>
          <w:lang w:val="en-US" w:eastAsia="zh-CN"/>
          <w14:textFill>
            <w14:solidFill>
              <w14:schemeClr w14:val="tx1"/>
            </w14:solidFill>
          </w14:textFill>
        </w:rPr>
      </w:pPr>
      <w:r>
        <w:rPr>
          <w:rFonts w:hint="default" w:ascii="方正楷体简体" w:hAnsi="Times New Roman" w:eastAsia="方正楷体简体" w:cs="Times New Roman"/>
          <w:b/>
          <w:color w:val="000000" w:themeColor="text1"/>
          <w:kern w:val="0"/>
          <w:sz w:val="32"/>
          <w:szCs w:val="32"/>
          <w:lang w:val="en-US" w:eastAsia="zh-CN"/>
          <w14:textFill>
            <w14:solidFill>
              <w14:schemeClr w14:val="tx1"/>
            </w14:solidFill>
          </w14:textFill>
        </w:rPr>
        <w:t>其他有关文件专门要求通过政府信息公开工作年度报告予以报告的事项</w:t>
      </w:r>
    </w:p>
    <w:p>
      <w:pPr>
        <w:pStyle w:val="5"/>
        <w:wordWrap w:val="0"/>
        <w:ind w:firstLine="643" w:firstLineChars="200"/>
        <w:rPr>
          <w:rFonts w:hint="default" w:ascii="Times New Roman" w:hAnsi="Times New Roman" w:eastAsia="方正仿宋简体" w:cs="方正仿宋简体"/>
          <w:b/>
          <w:bCs/>
          <w:kern w:val="0"/>
          <w:sz w:val="32"/>
          <w:szCs w:val="32"/>
          <w:lang w:val="en-US" w:eastAsia="zh-CN"/>
        </w:rPr>
      </w:pPr>
      <w:r>
        <w:rPr>
          <w:rFonts w:hint="eastAsia" w:ascii="Times New Roman" w:hAnsi="Times New Roman" w:eastAsia="方正仿宋简体" w:cs="方正仿宋简体"/>
          <w:b/>
          <w:bCs/>
          <w:kern w:val="0"/>
          <w:sz w:val="32"/>
          <w:szCs w:val="32"/>
          <w:lang w:val="en-US" w:eastAsia="zh-CN"/>
        </w:rPr>
        <w:t>无</w:t>
      </w:r>
    </w:p>
    <w:p>
      <w:pPr>
        <w:pStyle w:val="4"/>
        <w:keepNext w:val="0"/>
        <w:keepLines w:val="0"/>
        <w:widowControl/>
        <w:suppressLineNumbers w:val="0"/>
        <w:shd w:val="clear" w:fill="FFFFFF"/>
        <w:spacing w:before="0" w:beforeAutospacing="0" w:after="0" w:afterAutospacing="0" w:line="525" w:lineRule="atLeast"/>
        <w:ind w:left="0" w:right="0" w:firstLine="645"/>
        <w:jc w:val="right"/>
        <w:rPr>
          <w:rStyle w:val="8"/>
          <w:rFonts w:hint="eastAsia" w:ascii="方正仿宋简体" w:hAnsi="方正仿宋简体" w:eastAsia="方正仿宋简体" w:cs="方正仿宋简体"/>
          <w:i w:val="0"/>
          <w:iCs w:val="0"/>
          <w:caps w:val="0"/>
          <w:color w:val="000000"/>
          <w:spacing w:val="0"/>
          <w:sz w:val="31"/>
          <w:szCs w:val="31"/>
          <w:shd w:val="clear" w:fill="FFFFFF"/>
        </w:rPr>
      </w:pPr>
    </w:p>
    <w:p>
      <w:pPr>
        <w:pStyle w:val="4"/>
        <w:keepNext w:val="0"/>
        <w:keepLines w:val="0"/>
        <w:widowControl/>
        <w:suppressLineNumbers w:val="0"/>
        <w:shd w:val="clear" w:fill="FFFFFF"/>
        <w:spacing w:before="0" w:beforeAutospacing="0" w:after="0" w:afterAutospacing="0" w:line="525" w:lineRule="atLeast"/>
        <w:ind w:left="0" w:right="0" w:firstLine="645"/>
        <w:jc w:val="right"/>
        <w:rPr>
          <w:rFonts w:hint="default" w:ascii="sans-serif" w:hAnsi="sans-serif" w:eastAsia="sans-serif" w:cs="sans-serif"/>
          <w:i w:val="0"/>
          <w:iCs w:val="0"/>
          <w:caps w:val="0"/>
          <w:color w:val="000000"/>
          <w:spacing w:val="0"/>
          <w:sz w:val="24"/>
          <w:szCs w:val="24"/>
        </w:rPr>
      </w:pPr>
      <w:r>
        <w:rPr>
          <w:rStyle w:val="8"/>
          <w:rFonts w:hint="eastAsia" w:ascii="方正仿宋简体" w:hAnsi="方正仿宋简体" w:eastAsia="方正仿宋简体" w:cs="方正仿宋简体"/>
          <w:i w:val="0"/>
          <w:iCs w:val="0"/>
          <w:caps w:val="0"/>
          <w:color w:val="000000"/>
          <w:spacing w:val="0"/>
          <w:sz w:val="31"/>
          <w:szCs w:val="31"/>
          <w:shd w:val="clear" w:fill="FFFFFF"/>
          <w:lang w:val="en-US" w:eastAsia="zh-CN"/>
        </w:rPr>
        <w:t xml:space="preserve">  </w:t>
      </w:r>
      <w:r>
        <w:rPr>
          <w:rStyle w:val="8"/>
          <w:rFonts w:hint="eastAsia" w:ascii="方正仿宋简体" w:hAnsi="方正仿宋简体" w:eastAsia="方正仿宋简体" w:cs="方正仿宋简体"/>
          <w:i w:val="0"/>
          <w:iCs w:val="0"/>
          <w:caps w:val="0"/>
          <w:color w:val="000000"/>
          <w:spacing w:val="0"/>
          <w:sz w:val="31"/>
          <w:szCs w:val="31"/>
          <w:shd w:val="clear" w:fill="FFFFFF"/>
        </w:rPr>
        <w:t>曲阜市市场监督管理局</w:t>
      </w:r>
    </w:p>
    <w:p>
      <w:pPr>
        <w:pStyle w:val="4"/>
        <w:keepNext w:val="0"/>
        <w:keepLines w:val="0"/>
        <w:widowControl/>
        <w:suppressLineNumbers w:val="0"/>
        <w:shd w:val="clear" w:fill="FFFFFF"/>
        <w:spacing w:before="0" w:beforeAutospacing="0" w:after="0" w:afterAutospacing="0" w:line="525" w:lineRule="atLeast"/>
        <w:ind w:left="0" w:right="0" w:firstLine="645"/>
        <w:jc w:val="center"/>
      </w:pPr>
      <w:r>
        <w:rPr>
          <w:rStyle w:val="8"/>
          <w:rFonts w:hint="eastAsia" w:ascii="Times New Roman" w:hAnsi="Times New Roman" w:eastAsia="宋体" w:cs="Times New Roman"/>
          <w:i w:val="0"/>
          <w:iCs w:val="0"/>
          <w:caps w:val="0"/>
          <w:color w:val="000000"/>
          <w:spacing w:val="0"/>
          <w:sz w:val="31"/>
          <w:szCs w:val="31"/>
          <w:shd w:val="clear" w:fill="FFFFFF"/>
          <w:lang w:val="en-US" w:eastAsia="zh-CN"/>
        </w:rPr>
        <w:t xml:space="preserve">                              </w:t>
      </w:r>
      <w:r>
        <w:rPr>
          <w:rStyle w:val="8"/>
          <w:rFonts w:hint="default" w:ascii="Times New Roman" w:hAnsi="Times New Roman" w:eastAsia="sans-serif" w:cs="Times New Roman"/>
          <w:i w:val="0"/>
          <w:iCs w:val="0"/>
          <w:caps w:val="0"/>
          <w:color w:val="000000"/>
          <w:spacing w:val="0"/>
          <w:sz w:val="31"/>
          <w:szCs w:val="31"/>
          <w:shd w:val="clear" w:fill="FFFFFF"/>
        </w:rPr>
        <w:t>202</w:t>
      </w:r>
      <w:r>
        <w:rPr>
          <w:rStyle w:val="8"/>
          <w:rFonts w:hint="eastAsia" w:ascii="Times New Roman" w:hAnsi="Times New Roman" w:eastAsia="方正仿宋简体" w:cs="Times New Roman"/>
          <w:i w:val="0"/>
          <w:iCs w:val="0"/>
          <w:caps w:val="0"/>
          <w:color w:val="000000"/>
          <w:spacing w:val="0"/>
          <w:sz w:val="31"/>
          <w:szCs w:val="31"/>
          <w:shd w:val="clear" w:fill="FFFFFF"/>
          <w:lang w:val="en-US" w:eastAsia="zh-CN"/>
        </w:rPr>
        <w:t>3</w:t>
      </w:r>
      <w:r>
        <w:rPr>
          <w:rStyle w:val="8"/>
          <w:rFonts w:hint="eastAsia" w:ascii="方正仿宋简体" w:hAnsi="方正仿宋简体" w:eastAsia="方正仿宋简体" w:cs="方正仿宋简体"/>
          <w:i w:val="0"/>
          <w:iCs w:val="0"/>
          <w:caps w:val="0"/>
          <w:color w:val="000000"/>
          <w:spacing w:val="0"/>
          <w:sz w:val="31"/>
          <w:szCs w:val="31"/>
          <w:shd w:val="clear" w:fill="FFFFFF"/>
        </w:rPr>
        <w:t>年</w:t>
      </w:r>
      <w:r>
        <w:rPr>
          <w:rStyle w:val="8"/>
          <w:rFonts w:hint="default" w:ascii="Times New Roman" w:hAnsi="Times New Roman" w:eastAsia="sans-serif" w:cs="Times New Roman"/>
          <w:i w:val="0"/>
          <w:iCs w:val="0"/>
          <w:caps w:val="0"/>
          <w:color w:val="000000"/>
          <w:spacing w:val="0"/>
          <w:sz w:val="31"/>
          <w:szCs w:val="31"/>
          <w:shd w:val="clear" w:fill="FFFFFF"/>
        </w:rPr>
        <w:t>1</w:t>
      </w:r>
      <w:r>
        <w:rPr>
          <w:rStyle w:val="8"/>
          <w:rFonts w:hint="eastAsia" w:ascii="方正仿宋简体" w:hAnsi="方正仿宋简体" w:eastAsia="方正仿宋简体" w:cs="方正仿宋简体"/>
          <w:i w:val="0"/>
          <w:iCs w:val="0"/>
          <w:caps w:val="0"/>
          <w:color w:val="000000"/>
          <w:spacing w:val="0"/>
          <w:sz w:val="31"/>
          <w:szCs w:val="31"/>
          <w:shd w:val="clear" w:fill="FFFFFF"/>
        </w:rPr>
        <w:t>月</w:t>
      </w:r>
      <w:r>
        <w:rPr>
          <w:rStyle w:val="8"/>
          <w:rFonts w:hint="eastAsia" w:ascii="Times New Roman" w:hAnsi="Times New Roman" w:eastAsia="sans-serif" w:cs="Times New Roman"/>
          <w:i w:val="0"/>
          <w:iCs w:val="0"/>
          <w:caps w:val="0"/>
          <w:color w:val="000000"/>
          <w:spacing w:val="0"/>
          <w:sz w:val="31"/>
          <w:szCs w:val="31"/>
          <w:shd w:val="clear" w:fill="FFFFFF"/>
          <w:lang w:val="en-US" w:eastAsia="zh-CN"/>
        </w:rPr>
        <w:t>20</w:t>
      </w:r>
      <w:r>
        <w:rPr>
          <w:rStyle w:val="8"/>
          <w:rFonts w:hint="eastAsia" w:ascii="方正仿宋简体" w:hAnsi="方正仿宋简体" w:eastAsia="方正仿宋简体" w:cs="方正仿宋简体"/>
          <w:i w:val="0"/>
          <w:iCs w:val="0"/>
          <w:caps w:val="0"/>
          <w:color w:val="000000"/>
          <w:spacing w:val="0"/>
          <w:sz w:val="31"/>
          <w:szCs w:val="31"/>
          <w:shd w:val="clear" w:fill="FFFFFF"/>
        </w:rPr>
        <w:t>日</w:t>
      </w:r>
    </w:p>
    <w:sectPr>
      <w:pgSz w:w="11906" w:h="16838"/>
      <w:pgMar w:top="1191" w:right="1587" w:bottom="119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decorative"/>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方正仿宋简体">
    <w:altName w:val="宋体"/>
    <w:panose1 w:val="02010601030101010101"/>
    <w:charset w:val="86"/>
    <w:family w:val="auto"/>
    <w:pitch w:val="default"/>
    <w:sig w:usb0="00000000" w:usb1="00000000" w:usb2="00000000" w:usb3="00000000" w:csb0="00040000" w:csb1="00000000"/>
    <w:embedRegular r:id="rId1" w:fontKey="{F400C4CA-BF84-4EF7-96EE-9F06D51D991E}"/>
  </w:font>
  <w:font w:name="方正楷体简体">
    <w:altName w:val="宋体"/>
    <w:panose1 w:val="02010601030101010101"/>
    <w:charset w:val="86"/>
    <w:family w:val="auto"/>
    <w:pitch w:val="default"/>
    <w:sig w:usb0="00000000" w:usb1="00000000" w:usb2="00000000" w:usb3="00000000" w:csb0="00040000" w:csb1="00000000"/>
    <w:embedRegular r:id="rId2" w:fontKey="{F75836B8-9CD3-4FF0-8E28-158997D2561E}"/>
  </w:font>
  <w:font w:name="楷体_GB2312">
    <w:panose1 w:val="02010609030101010101"/>
    <w:charset w:val="86"/>
    <w:family w:val="decorative"/>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方正黑体简体">
    <w:panose1 w:val="02000000000000000000"/>
    <w:charset w:val="86"/>
    <w:family w:val="auto"/>
    <w:pitch w:val="default"/>
    <w:sig w:usb0="A00002BF" w:usb1="184F6CFA" w:usb2="00000012" w:usb3="00000000" w:csb0="00040001" w:csb1="00000000"/>
    <w:embedRegular r:id="rId3" w:fontKey="{79242734-A2B9-4DCF-83E8-9DC410C133C7}"/>
  </w:font>
  <w:font w:name="sans-serif">
    <w:altName w:val="Courier New"/>
    <w:panose1 w:val="00000000000000000000"/>
    <w:charset w:val="00"/>
    <w:family w:val="auto"/>
    <w:pitch w:val="default"/>
    <w:sig w:usb0="00000000" w:usb1="00000000" w:usb2="00000000" w:usb3="00000000" w:csb0="00000000" w:csb1="00000000"/>
    <w:embedRegular r:id="rId4" w:fontKey="{08E3D3CA-ED5B-4E31-98CF-4641B7089B9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DE63DF"/>
    <w:multiLevelType w:val="singleLevel"/>
    <w:tmpl w:val="B3DE63DF"/>
    <w:lvl w:ilvl="0" w:tentative="0">
      <w:start w:val="2"/>
      <w:numFmt w:val="chineseCounting"/>
      <w:suff w:val="nothing"/>
      <w:lvlText w:val="（%1）"/>
      <w:lvlJc w:val="left"/>
      <w:rPr>
        <w:rFonts w:hint="eastAsia"/>
      </w:rPr>
    </w:lvl>
  </w:abstractNum>
  <w:abstractNum w:abstractNumId="1">
    <w:nsid w:val="65119071"/>
    <w:multiLevelType w:val="singleLevel"/>
    <w:tmpl w:val="65119071"/>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2YTZmZjBiMGU3YTkyY2JkMjM0NzQ3YWIwMDM1ZmEifQ=="/>
  </w:docVars>
  <w:rsids>
    <w:rsidRoot w:val="11AF18C8"/>
    <w:rsid w:val="0C4E5C84"/>
    <w:rsid w:val="0C8F1FE8"/>
    <w:rsid w:val="0CFD79EE"/>
    <w:rsid w:val="11AF18C8"/>
    <w:rsid w:val="1A6A77C7"/>
    <w:rsid w:val="1C052B3D"/>
    <w:rsid w:val="1C5D3E15"/>
    <w:rsid w:val="1E7677E4"/>
    <w:rsid w:val="24237800"/>
    <w:rsid w:val="283A1970"/>
    <w:rsid w:val="29477A7A"/>
    <w:rsid w:val="334D6624"/>
    <w:rsid w:val="3C47420D"/>
    <w:rsid w:val="3D0E76CD"/>
    <w:rsid w:val="3DDC47DD"/>
    <w:rsid w:val="3F3E72B1"/>
    <w:rsid w:val="4BE61701"/>
    <w:rsid w:val="4EAE3395"/>
    <w:rsid w:val="50377645"/>
    <w:rsid w:val="50A83620"/>
    <w:rsid w:val="546E2015"/>
    <w:rsid w:val="56975377"/>
    <w:rsid w:val="5B535C0B"/>
    <w:rsid w:val="5EC147BC"/>
    <w:rsid w:val="636724EC"/>
    <w:rsid w:val="67A625AB"/>
    <w:rsid w:val="6ABF16B3"/>
    <w:rsid w:val="6CAE0ED7"/>
    <w:rsid w:val="75016B24"/>
    <w:rsid w:val="77181135"/>
    <w:rsid w:val="7A8E2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1"/>
    <w:qFormat/>
    <w:uiPriority w:val="0"/>
    <w:pPr>
      <w:ind w:left="200" w:leftChars="200" w:firstLine="200" w:firstLineChars="200"/>
    </w:pPr>
    <w:rPr>
      <w:rFonts w:eastAsia="仿宋_GB2312"/>
      <w:sz w:val="30"/>
    </w:rPr>
  </w:style>
  <w:style w:type="paragraph" w:styleId="3">
    <w:name w:val="Body Text"/>
    <w:next w:val="1"/>
    <w:qFormat/>
    <w:uiPriority w:val="99"/>
    <w:pPr>
      <w:widowControl w:val="0"/>
      <w:jc w:val="both"/>
    </w:pPr>
    <w:rPr>
      <w:rFonts w:ascii="Times New Roman" w:hAnsi="Times New Roman" w:eastAsia="宋体" w:cs="Times New Roman"/>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w:qFormat/>
    <w:uiPriority w:val="99"/>
    <w:pPr>
      <w:widowControl w:val="0"/>
      <w:ind w:firstLine="420" w:firstLineChars="100"/>
      <w:jc w:val="both"/>
    </w:pPr>
    <w:rPr>
      <w:rFonts w:ascii="Times New Roman" w:hAnsi="Times New Roman" w:eastAsia="宋体" w:cs="Times New Roman"/>
      <w:lang w:val="en-US" w:eastAsia="zh-CN" w:bidi="ar-SA"/>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2474</Words>
  <Characters>2563</Characters>
  <Lines>0</Lines>
  <Paragraphs>0</Paragraphs>
  <TotalTime>13</TotalTime>
  <ScaleCrop>false</ScaleCrop>
  <LinksUpToDate>false</LinksUpToDate>
  <CharactersWithSpaces>2602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2023-01-16T07:45:00Z</dcterms:created>
  <dc:creator>诗人与熊</dc:creator>
  <cp:lastModifiedBy>马梦超</cp:lastModifiedBy>
  <cp:lastPrinted>2023-01-16T09:08:00Z</cp:lastPrinted>
  <dcterms:modified xsi:type="dcterms:W3CDTF">2023-02-10T11:39:21Z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A93B6BFB776D4837B7F8BA2DE668FE95</vt:lpwstr>
  </property>
</Properties>
</file>