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eastAsia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年曲阜市国民经济和社会发展统计公报</w:t>
      </w:r>
    </w:p>
    <w:p>
      <w:pPr>
        <w:spacing w:line="580" w:lineRule="exact"/>
        <w:jc w:val="center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曲阜市统计局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国家统计局曲阜调查队</w:t>
      </w:r>
    </w:p>
    <w:p>
      <w:pPr>
        <w:spacing w:line="560" w:lineRule="exact"/>
        <w:jc w:val="center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日</w:t>
      </w:r>
    </w:p>
    <w:p>
      <w:pPr>
        <w:spacing w:line="560" w:lineRule="exact"/>
        <w:jc w:val="center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面对复杂多变的外部环境、国内经济发展“三重压力”以及超预期因素影响，全市上下坚持稳中求进工作总基调，锚定“走在前、开新局”，围绕建设“东方圣城·幸福曲阜”，大力实施“六大战略”“八大攻坚”，高效统筹疫情防控和经济社会发展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经济总量进一步扩大，经济结构继续优化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发展质量持续提升。</w:t>
      </w:r>
    </w:p>
    <w:p>
      <w:pPr>
        <w:spacing w:line="560" w:lineRule="exact"/>
        <w:jc w:val="both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一、综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合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根据地区生产总值统一核算结果，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全市地区生产总值4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27.25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亿元，按可比价格计算，比上年增长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%。分产业看，第一产业增加值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32.86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%;第二产业增加值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124.93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7.2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%;第三产业增加值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269.46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%。三次产业结构调整为7.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29.2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四新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经济增加值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100.54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亿元、增长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11.3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%，占GDP比重达到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23.5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“十强”产业增加值157.12亿元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、增长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13.8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%，占GDP比重达到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36.8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</w:t>
      </w:r>
    </w:p>
    <w:p>
      <w:pPr>
        <w:pStyle w:val="14"/>
        <w:spacing w:line="560" w:lineRule="exact"/>
        <w:ind w:firstLine="720" w:firstLineChars="224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年末常住人口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1.77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万人，比上年末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减少0.46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万人，其中城镇常住人口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40.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万人，占常住人口比重（常住人口城镇化率）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5.29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%，比上年末提高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0.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个百分点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，农村常住人口2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1.45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。全年出生人口3991人，出生率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.09‰；死亡人口3992人，死亡率6.09‰；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自然增长率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‰。</w:t>
      </w:r>
    </w:p>
    <w:p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</w:rPr>
        <w:t>全年城镇新增就业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4854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</w:rPr>
        <w:t>人，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其中失业人员实现再就业人数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3382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</w:rPr>
        <w:t>年末城镇登记失业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113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</w:rPr>
        <w:t>人，登记失业率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0.16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</w:rPr>
        <w:t>%，低于年初确定的控制目标。</w:t>
      </w:r>
    </w:p>
    <w:p>
      <w:pPr>
        <w:spacing w:line="52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新增市场主体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8279家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年末达到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80756家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。新增企业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2300家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年末达到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20880家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新增外商投资企业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，年末达到10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新增个体工商户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5941家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年末达到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8868家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新增农民专业合作社38家，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年末达到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1008家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全年新增“四上”企业1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家，年末达到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551家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。其中，新增规模以上工业企业24家，新增规模以上服务业企业11家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新增限额以上批零住餐业企业4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家，新增资质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建筑业和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房地产开发企业55家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全年平均气温1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6.0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  <w:highlight w:val="none"/>
        </w:rPr>
        <w:t>℃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，最高气温3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9.9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  <w:highlight w:val="none"/>
        </w:rPr>
        <w:t>℃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，最低气温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7.7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  <w:highlight w:val="none"/>
        </w:rPr>
        <w:t>℃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。平均相对湿度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年降水量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713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毫米，日最大降水量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129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毫米。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全年空气质量综合指数4.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，比上年改善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%；细颗粒物（PM2.5）浓度4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微克/立方米，比上年改善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%；可吸入颗粒物（PM10）浓度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微克/立方米；空气优良天数达到23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天，优良率6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%；河流断面水质稳定达到《地表水环境质量标准（GB3838-2002）Ⅲ类水质标准，集中式饮用水水源地水质监测结果全部达到《地下水质量标准》（GB/T 14848-2017）Ⅲ类标准，达标率100%。</w:t>
      </w:r>
    </w:p>
    <w:p>
      <w:pPr>
        <w:spacing w:line="580" w:lineRule="exact"/>
        <w:jc w:val="both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、农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业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农林牧渔及其服务业增加值3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6.25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亿元、比上年增长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农林牧渔业总产值6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5.21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亿元，按不变价格计算，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5.7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%。其中，农业产值3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4.92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%；林业产值0.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54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54.7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%；牧业产值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21.70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8.9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%；渔业产值0.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90.8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%；农林牧渔服务业产值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7.44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%。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全年粮食作物播种面积96.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万亩，单产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459.48公斤/亩，比上年提高2.44公斤；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粮食总产量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44.25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万吨，比上年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增加0.25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万吨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全年生猪出栏2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5.22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万头，比上年增长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%；年末存栏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17.65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万头，比上年增长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4.4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%。家禽出栏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1611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万只，比上年增长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%；年末存栏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488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万只，比上年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下降18.3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%。水产品产量2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773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万吨，同比增长5.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70" w:lineRule="exact"/>
        <w:ind w:left="0" w:leftChars="0"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规上农业龙头企业160家、家庭农场249家、农民合作社1005家、有效期内“三品一标”农产品84个。新增高标准农田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万亩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，达到51.1万亩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。规范化农机合作社达到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70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家。农业机械总动力6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9.47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万千瓦，比上年增长2.7%，主要农作物耕种收综合机械化水平达74.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%。全年造林122.3公顷，年末林地面积达到1.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万公顷。</w:t>
      </w:r>
    </w:p>
    <w:p>
      <w:pPr>
        <w:spacing w:line="580" w:lineRule="exact"/>
        <w:jc w:val="both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、工业和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能源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全部工业增加值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1.68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其中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，采矿业增加值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1.01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5.0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%；制造业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增加值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54.75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4.6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占GDP比重为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12.8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电力、热力、燃气及水生产和供应业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增加值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5.92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下降0.2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年末在库规上工业企业187家，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规上工业增加值增长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规模以上工业实现营业收入2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66.99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亿元、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增长2.0%，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利润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2.62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亿元、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下降22.2%，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利税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2.98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亿元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下降10.3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%。规上工业每百元营业收入成本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82.52，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比上年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增加2.25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在全部规上工业企业中，亏损企业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，亏损面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、比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年扩大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个百分点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全社会用电量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23.01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亿千瓦时，比上年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下降0.3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其中，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第一产业用电0.2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12.0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%；第二产业用电1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1.64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亿千瓦时、比上年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下降5.8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%，其中工业用电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11.35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亿千瓦时、比上年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下降5.6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%；第三产业用电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5.85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亿千瓦时，比上年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下降1.1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%；城乡居民生活用电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5.26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亿千瓦时，比上年增长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15.1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both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　　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、建筑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业和房地产业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年末在库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资质以上建筑业企业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127家，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实现总产值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60.29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.1%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其中建筑工程产值4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9.39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10.5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%，安装工程产值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6.83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亿元，比上年下降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%。全年房屋建筑施工面积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292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万平方米，比上年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增长50.4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在库房地产开发项目4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个、比上年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减少6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个，完成房地产投资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39.25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下降2.9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%。全年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商品房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施工面积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328.52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万平方米，比上年下降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%；其中住宅房屋施工面积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263.24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万平方米，比上年下降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8.3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%。商品房销售面积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78.77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万平方米，比上年增长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8.1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%；商品房销售额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53.04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7.0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%。其中，住宅销售面积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70.92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万平方米，比上年增长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10.6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%；住宅销售额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49.15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.2%。</w:t>
      </w:r>
    </w:p>
    <w:p>
      <w:pPr>
        <w:spacing w:line="580" w:lineRule="exact"/>
        <w:jc w:val="both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、国内外贸易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社会消费品零售总额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241.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0.1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按商品类别分，限上社会消费品零售额1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6.21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亿元，增长1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0.4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，其中餐饮收入1.46亿元，增长4.7%，商品零售14.74亿元，增长0.7%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。分行业看，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72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家限上批发业销售额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122.99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24.6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；40家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限上零售业销售额1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4.44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亿元，增长1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.2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；26家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限上住宿业营业额1.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87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下降7.3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；23家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限上餐饮业营业额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0.81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33.5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%。按经营单位所在地分，城镇消费品零售额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197.17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与上年持平，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乡村消费品零售额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44.62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，增长0.6%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70" w:lineRule="exact"/>
        <w:ind w:left="0" w:leftChars="0" w:firstLine="643" w:firstLineChars="200"/>
        <w:jc w:val="both"/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实现进出口总额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52.3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亿元、增长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20.0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；其中进口47.7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亿元，增长29.4%，出口4.6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亿元，下降31.3%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实际利用外资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5985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万美元，其中日韩资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2860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万美元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，制造业利用外资779万美元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全年</w:t>
      </w:r>
      <w:r>
        <w:rPr>
          <w:rFonts w:hint="default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到位内资67.10亿元，新开工亿元以上项目22个，总投资71.68亿元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。</w:t>
      </w:r>
    </w:p>
    <w:p>
      <w:pPr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、服务业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末在库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规上服务业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企业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40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家，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实现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营业收入1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5.26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亿元，比上年增长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6.5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%。其中，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交通运输、仓储和邮政业增长31.6%，信息传输、软件和信息技术服务业下降40.4%，房地产业下降12.8%，租赁和商务服务业增长4.1%，科学研究和技术服务业增长4.4%，水利、环境和公共设施管理业增长7.2%，教育业下降44.1%，卫生和社会工作增长7.5%，文化、体育和娱乐业下降0.3%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规上文化产业企业21家，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上年净增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家，实现营业收入6.27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上年下降13.9%。文化产业增加值2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1.81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亿元、比上年增长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2.7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%，占GDP比重达到5.1%。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各类文物点819处，其中各级重点文物保护单位208处。按级别分，全国重点文物保护单位13处，省级重点文物保护单位55处，济宁市级重点文物保护单位9处，曲阜市级重点文物保护单位131处。现有博物馆13家（含孔子博物馆），其中国有博物馆7家，非国有博物馆5家，乡村博物馆1家（大庄村博物馆，上榜首批山东省乡村（社区)博物馆名单）。</w:t>
      </w:r>
    </w:p>
    <w:p>
      <w:pPr>
        <w:topLinePunct/>
        <w:adjustRightInd w:val="0"/>
        <w:spacing w:line="550" w:lineRule="exact"/>
        <w:ind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全年旅游产业增加值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32.73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亿元、比上年增长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5.2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%，占GDP比重达到7.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 年末3A级以上旅游景区11个。其中，5A级景区（“三孔”）1个，4A级景区4个，3A级景区6个。国家级乡村旅游重点村2个；省级精品文旅名镇1个；省级乡村旅游重点村2个；省级景区化村庄6个。“三孔”景区接待游客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138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万人次，比上年下降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45.3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%；尼山圣境景区接待游客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万人次，比上年下降37.6%；孔子博物馆接待游客26万人次，比上年下降5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、固定资产投资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固定资产投资(不含农户)比上年增长1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%。其中，第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产业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62.7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%，第二产业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20.8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%，第三产业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14.1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%。重点领域中，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“四新”投资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73.04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17.3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%；民间投资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100.32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10.1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%；制造业技改投资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21.13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亿元，增长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53.4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；高技术投资19.41亿元，增长16.0%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topLinePunct/>
        <w:adjustRightIn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、财税和金融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一般公共预算收入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22.93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按自然口径计算下降10.0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%。其中税收收入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15.84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按自然口径计算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下降20.3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%，非税收入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7.09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，增长27.0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%。税收收入占一般公共预算收入比重达到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69.1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%，比上年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下降9.0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个百分点。税收分产业看，第一产业1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673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万元，增长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64.0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%；第二产业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8.03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亿元，下降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5.9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%；其中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制造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业税收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4.42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亿元，下降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10.3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%；第三产业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9.40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、下降20.0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其中房地产业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3.70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下降42.1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%。分税种看，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国内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增值税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3.88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下降41.1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6.7%；企业所得税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1.96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下降16.6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%；个人所得税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0.64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增长19.3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%。全市一般公共预算支出4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5.28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，增长0.7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%。其中教育支出增长1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0.1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%，社会保障和就业支出增长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3.8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%。民生领域支出达到35.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48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亿元，占一般公共预算支出的78.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年末金融机构本外币存款余额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532.95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亿元，比年初增加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64.06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亿元，同比增长1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3.7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%。其中住户存款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415.54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亿元，同比增长1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5.6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%。贷款余额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326.40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亿元，比年初增加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37.60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亿元，同比增长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13.0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%。其中，企（事）业单位贷款余额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158.28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亿元，同比增长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16.8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%。金融机构本外币存贷比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61.2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%，同比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下降0.4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个百分点。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highlight w:val="none"/>
          <w:lang w:val="en-US" w:eastAsia="zh-CN" w:bidi="ar"/>
        </w:rPr>
        <w:t>现代金融产业增加值25.15亿元，比上年增长9.2%，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占GDP比重达到5.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</w:t>
      </w:r>
    </w:p>
    <w:p>
      <w:pPr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、交通运输</w:t>
      </w:r>
    </w:p>
    <w:p>
      <w:pPr>
        <w:spacing w:line="580" w:lineRule="exact"/>
        <w:ind w:left="105" w:leftChars="50"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全市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等级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公路运输里程1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559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公里，其中高速公路2条、总长6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公里，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一级公路104公里，二级公路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公里，三级公路2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公路，四级公路10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公路。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过境铁路187公里，其中京沪高速铁路35公里、鲁南高速铁路73公里、京沪线（津浦线）26公里、兖石铁路27公里、兖石铁路北环线26公里。公路货物营运车辆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4048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辆，载重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10.90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万吨；公路旅客营运车辆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722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辆，其中新能源公交车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辆。</w:t>
      </w:r>
    </w:p>
    <w:p>
      <w:pPr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十、城市建设</w:t>
      </w:r>
    </w:p>
    <w:p>
      <w:pPr>
        <w:topLinePunct/>
        <w:adjustRightInd w:val="0"/>
        <w:spacing w:line="580" w:lineRule="exact"/>
        <w:ind w:firstLine="643" w:firstLineChars="200"/>
        <w:textAlignment w:val="baseline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全市地域面积815平方公里，其中城区面积66平方公里，建成区面积27平方公里。城区绿化覆盖面积1504公顷，其中建成区1166公顷。绿地面积1326公顷，其中建成区108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公顷。公园25个，面积358公顷。绿道长度81公里。公共自来水年供水总量1141万立方米，供水综合生产能力10万立方米/日，供水管道长度380公里。天然气供气总量930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万立方米。供气管道长度122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公里，用气户数18.06万户。年供热总量269万吉焦，供热能力440吨/小时，供热面积1466万平方米，供热管道长度969公里。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完成农村改厕7</w:t>
      </w:r>
      <w:r>
        <w:rPr>
          <w:rFonts w:hint="eastAsia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.80万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户，建成农村公厕208个，清洁取暖改造10</w:t>
      </w:r>
      <w:r>
        <w:rPr>
          <w:rFonts w:hint="eastAsia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万</w:t>
      </w:r>
      <w:r>
        <w:rPr>
          <w:rFonts w:hint="eastAsia" w:ascii="Times New Roman" w:hAnsi="Times New Roman" w:eastAsia="方正仿宋简体" w:cs="Times New Roman"/>
          <w:b/>
          <w:bCs w:val="0"/>
          <w:snapToGrid w:val="0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户。</w:t>
      </w:r>
    </w:p>
    <w:p>
      <w:pPr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、教育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体育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和科技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年末全市共有各级各类学校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包含在曲高等、中等、初等教育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特殊学校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学前教育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，专任教师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在校学生1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8.67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万人，年内毕业生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4.99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万人。其中，高等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教育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学校4所，专任教师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3650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人，在校生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8.05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万人，年内毕业生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中等教育学校3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所，专任教师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人，在校生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万人，年内毕业生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1.23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初等教育学校8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所，专任教师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3081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人，在校生4.0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万人，年内毕业生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694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学前教育幼儿园1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所，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其中普惠性民办幼儿园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所。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在园幼儿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万人，离园幼儿0.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万人。九年义务教育巩固率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99.9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%，高中阶段教育毛入学率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%，学前教育毛入园率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。年末拥有体育场馆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竞技体校1所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等级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教练员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人，等级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运动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中小学生体育达标率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6.2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年末有效发明专利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709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件，比上年增长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37.9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%,其中高价值发明专利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224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件，比上年增长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107.4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%。万人发明专利拥有量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11.40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件。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授权发明专利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240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比上年增长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31.9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</w:p>
    <w:p>
      <w:pPr>
        <w:adjustRightInd w:val="0"/>
        <w:spacing w:line="58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全年签订技术合同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365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项，成交额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18.80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新增高新技术企业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个，年末达到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119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规上高新技术产值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177.22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亿元，同比增长1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0.0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%，占规上工业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产值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比重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68.46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提高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11.70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个百分点。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年，全市研究与试验发展（R&amp;D）经费投入62529万元，占GDP的比重为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1.55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%，比上年提高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0.40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个百分点。</w:t>
      </w:r>
    </w:p>
    <w:p>
      <w:pPr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、卫生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事业 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年末全市共有各类卫生机构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个，其中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一级以上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医院9个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，基层医疗卫生机构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个，专业公共卫生机构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。卫生工作人员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884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人，其中卫生技术人员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816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人。在卫生技术人员中，执业医师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1813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人，注册护士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人。年末医疗卫生机构床位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317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张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，病床使用率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76.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。全年完成诊疗服务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万人次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健康检查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1.44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万人次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实现医养健康产业增加值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22.74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9.8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%，占GDP比重达到5.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%。</w:t>
      </w:r>
    </w:p>
    <w:p>
      <w:pPr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、居民生活和社会保障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全体居民人均可支配收入3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1936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元，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5.8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%。按常住地分，城镇居民人均可支配收入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38225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元，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4.9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；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农村居民人均可支配收入2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1889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元，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7.6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%。城乡居民人均可支配收入倍差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1.75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，比上年缩小0.0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。全体居民消费支出17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547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元，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1.1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%，其中城镇居民消费支出20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016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元，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比上年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下降0.6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%，农村居民消费支出1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3602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元，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比上年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增长</w:t>
      </w:r>
      <w:r>
        <w:rPr>
          <w:rFonts w:hint="eastAsia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4.7</w:t>
      </w:r>
      <w:r>
        <w:rPr>
          <w:rFonts w:hint="default" w:eastAsia="方正仿宋简体" w:cs="Times New Roman"/>
          <w:b/>
          <w:color w:val="auto"/>
          <w:kern w:val="0"/>
          <w:sz w:val="32"/>
          <w:szCs w:val="32"/>
          <w:lang w:val="en-US" w:eastAsia="zh-CN" w:bidi="ar"/>
        </w:rPr>
        <w:t>%。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年末参加城镇职工基本养老保险人数1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4.15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万人，参加城乡居民基本养老保险人数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38.30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参加职工基本医疗保险人数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11.17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万人，参加城乡居民基本医疗保险人数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48.87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万人，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参加失业保险人数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7.39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万人，参加工伤保险人数为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9.06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最低工资标准1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900元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全市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养老机构和设施152处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其中提供住宿的养老机构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处，社会福利院1处；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配置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养老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床位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3290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张，每千名老年人拥有养老床位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张。城市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最低生活保障标准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880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元/月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比上年提高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城市低保对象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464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户、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956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最低生活保障支出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709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农村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最低生活保障标准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700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元/月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比上年提高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109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元。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年末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农村居民低保对象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6827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户、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436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最低生活保障支出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6343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万元。供养特困人员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3277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人，实施临时救助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人次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困难残疾人生活补贴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3897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，重度残疾人护理补贴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4032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、安全生产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发生各类生产安全事故4起，死亡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人，均为营运车辆道路交通事故</w:t>
      </w:r>
      <w:r>
        <w:rPr>
          <w:rFonts w:hint="eastAsia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，未发生工矿商贸企业安全生产事故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。亿元GDP生产安全事故死亡率0.0070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spacing w:line="580" w:lineRule="exact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highlight w:val="none"/>
        </w:rPr>
      </w:pPr>
    </w:p>
    <w:p>
      <w:pPr>
        <w:spacing w:line="580" w:lineRule="exact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0"/>
          <w:szCs w:val="30"/>
          <w:highlight w:val="none"/>
        </w:rPr>
        <w:t>注释：</w:t>
      </w:r>
    </w:p>
    <w:p>
      <w:pPr>
        <w:topLinePunct/>
        <w:adjustRightInd w:val="0"/>
        <w:spacing w:line="580" w:lineRule="exact"/>
        <w:ind w:firstLine="562" w:firstLineChars="200"/>
        <w:textAlignment w:val="baseline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</w:rPr>
        <w:t>1.本公报所列数据均为初步统计数据，有与统计年鉴不一致的以统计年鉴为准。小数位四舍五入取舍产生的误差未做机械调整。</w:t>
      </w:r>
    </w:p>
    <w:p>
      <w:pPr>
        <w:topLinePunct/>
        <w:adjustRightInd w:val="0"/>
        <w:spacing w:line="580" w:lineRule="exact"/>
        <w:ind w:firstLine="562" w:firstLineChars="200"/>
        <w:textAlignment w:val="baseline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</w:rPr>
        <w:t>2.地区生产总值、三次产业及相关行业增加值按当年价格计算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eastAsia="zh-CN"/>
        </w:rPr>
        <w:t>，增长速度按不变价格计算。</w:t>
      </w:r>
    </w:p>
    <w:p>
      <w:pPr>
        <w:topLinePunct/>
        <w:adjustRightInd w:val="0"/>
        <w:spacing w:line="580" w:lineRule="exact"/>
        <w:ind w:firstLine="562" w:firstLineChars="200"/>
        <w:textAlignment w:val="baseline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3.规模以上服务业统计范围包括：年营业收入2000万元及以上的交通运输、仓储和邮政业，信息传输、软件和信息技术服务业，水利、环境和公共设施管理业，卫生行业法人单位；年营业收入1000万元及以上的房地产业（不含房地产开发经营），租赁和商务服务业，科学研究和技术服务业，教育行业法人单位；以及年营业收入500万元及以上的居民服务、修理和其他服务业，文化、体育和娱乐业，社会工作行业法人单位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361" w:bottom="1984" w:left="1474" w:header="851" w:footer="1361" w:gutter="113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idowControl/>
      <w:wordWrap w:val="0"/>
      <w:ind w:right="-2" w:firstLine="360"/>
      <w:jc w:val="right"/>
      <w:rPr>
        <w:rFonts w:hAnsi="宋体"/>
        <w:b/>
        <w:bCs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idowControl/>
      <w:ind w:right="-2" w:firstLine="360"/>
      <w:rPr>
        <w:rFonts w:hint="eastAsia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idowControl/>
      <w:wordWrap w:val="0"/>
      <w:ind w:right="-2" w:firstLine="360"/>
      <w:jc w:val="right"/>
      <w:rPr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2ZmYmM0OWI5YWZhNjU4NTYxMjJjYjZmNDMyNTUifQ=="/>
  </w:docVars>
  <w:rsids>
    <w:rsidRoot w:val="00000000"/>
    <w:rsid w:val="00041777"/>
    <w:rsid w:val="02780673"/>
    <w:rsid w:val="033E4294"/>
    <w:rsid w:val="039936E4"/>
    <w:rsid w:val="0442248D"/>
    <w:rsid w:val="04DC29E8"/>
    <w:rsid w:val="06085010"/>
    <w:rsid w:val="06CA08AD"/>
    <w:rsid w:val="08687FE8"/>
    <w:rsid w:val="09CD5025"/>
    <w:rsid w:val="0A075D0B"/>
    <w:rsid w:val="0A4928C5"/>
    <w:rsid w:val="0B4F7789"/>
    <w:rsid w:val="0CD60C22"/>
    <w:rsid w:val="0D552B6D"/>
    <w:rsid w:val="0E1A3B33"/>
    <w:rsid w:val="0E67321C"/>
    <w:rsid w:val="10377C81"/>
    <w:rsid w:val="10DA37F4"/>
    <w:rsid w:val="116B4232"/>
    <w:rsid w:val="127F665A"/>
    <w:rsid w:val="13C54541"/>
    <w:rsid w:val="13D42D2B"/>
    <w:rsid w:val="14BE025F"/>
    <w:rsid w:val="154F3251"/>
    <w:rsid w:val="1A2E0F1B"/>
    <w:rsid w:val="1E3817E4"/>
    <w:rsid w:val="1E5C0F19"/>
    <w:rsid w:val="252A114A"/>
    <w:rsid w:val="26675B0F"/>
    <w:rsid w:val="26682EF5"/>
    <w:rsid w:val="28292197"/>
    <w:rsid w:val="28537F15"/>
    <w:rsid w:val="2A4D10C0"/>
    <w:rsid w:val="2AAF58B8"/>
    <w:rsid w:val="2AE35A15"/>
    <w:rsid w:val="2D6D7CCB"/>
    <w:rsid w:val="2F3C6F86"/>
    <w:rsid w:val="2F5E78CC"/>
    <w:rsid w:val="3029612C"/>
    <w:rsid w:val="31333307"/>
    <w:rsid w:val="34C06933"/>
    <w:rsid w:val="34D50167"/>
    <w:rsid w:val="38D5710E"/>
    <w:rsid w:val="390C0ED9"/>
    <w:rsid w:val="3A7601BF"/>
    <w:rsid w:val="3C9E1C4F"/>
    <w:rsid w:val="3D652012"/>
    <w:rsid w:val="3D7D7AB7"/>
    <w:rsid w:val="3DB40E0F"/>
    <w:rsid w:val="3DED384A"/>
    <w:rsid w:val="3EB23790"/>
    <w:rsid w:val="3EFA1638"/>
    <w:rsid w:val="3F8548C3"/>
    <w:rsid w:val="3FF670B2"/>
    <w:rsid w:val="40793ED9"/>
    <w:rsid w:val="42106FF3"/>
    <w:rsid w:val="437D2908"/>
    <w:rsid w:val="44BD69EB"/>
    <w:rsid w:val="44CD2D65"/>
    <w:rsid w:val="451B0962"/>
    <w:rsid w:val="45411183"/>
    <w:rsid w:val="46F04E55"/>
    <w:rsid w:val="46FA2F17"/>
    <w:rsid w:val="47076371"/>
    <w:rsid w:val="4AB12EA2"/>
    <w:rsid w:val="4BAF7618"/>
    <w:rsid w:val="4BD0415A"/>
    <w:rsid w:val="4CEF6C6B"/>
    <w:rsid w:val="4DD059E1"/>
    <w:rsid w:val="4F14474A"/>
    <w:rsid w:val="4FCB3D0E"/>
    <w:rsid w:val="4FD7160D"/>
    <w:rsid w:val="5079410E"/>
    <w:rsid w:val="5244074B"/>
    <w:rsid w:val="5251711B"/>
    <w:rsid w:val="544C787E"/>
    <w:rsid w:val="54B76A6D"/>
    <w:rsid w:val="54D16921"/>
    <w:rsid w:val="557429AB"/>
    <w:rsid w:val="568E4D67"/>
    <w:rsid w:val="57612324"/>
    <w:rsid w:val="59D86349"/>
    <w:rsid w:val="5A981634"/>
    <w:rsid w:val="5E2E6B91"/>
    <w:rsid w:val="5EAE2963"/>
    <w:rsid w:val="604007A4"/>
    <w:rsid w:val="605A16EB"/>
    <w:rsid w:val="610A2B60"/>
    <w:rsid w:val="610C4B2A"/>
    <w:rsid w:val="61770B17"/>
    <w:rsid w:val="61885BF0"/>
    <w:rsid w:val="623248D2"/>
    <w:rsid w:val="62EF5160"/>
    <w:rsid w:val="63777D44"/>
    <w:rsid w:val="645124AE"/>
    <w:rsid w:val="656942F9"/>
    <w:rsid w:val="65941476"/>
    <w:rsid w:val="6AF21B85"/>
    <w:rsid w:val="6BEC459F"/>
    <w:rsid w:val="71E9013E"/>
    <w:rsid w:val="71EA67C2"/>
    <w:rsid w:val="72F01BB6"/>
    <w:rsid w:val="739279C1"/>
    <w:rsid w:val="73C56311"/>
    <w:rsid w:val="76FF4ABD"/>
    <w:rsid w:val="78232A2D"/>
    <w:rsid w:val="78F50C46"/>
    <w:rsid w:val="7C3D7871"/>
    <w:rsid w:val="7CF14EA8"/>
    <w:rsid w:val="7DBB4955"/>
    <w:rsid w:val="7DD26DE2"/>
    <w:rsid w:val="7E005001"/>
    <w:rsid w:val="7ED1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??"/>
      <w:kern w:val="2"/>
      <w:sz w:val="21"/>
      <w:szCs w:val="21"/>
      <w:lang w:val="en-US" w:eastAsia="zh-CN" w:bidi="ar-SA"/>
    </w:rPr>
  </w:style>
  <w:style w:type="paragraph" w:styleId="4">
    <w:name w:val="heading 1"/>
    <w:basedOn w:val="5"/>
    <w:next w:val="6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楷体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2"/>
    </w:pPr>
    <w:rPr>
      <w:rFonts w:ascii="Times New Roman" w:hAnsi="Times New Roman" w:eastAsia="黑体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3"/>
    </w:pPr>
    <w:rPr>
      <w:rFonts w:ascii="Times New Roman" w:hAnsi="Times New Roman" w:eastAsia="楷体"/>
      <w:sz w:val="32"/>
    </w:rPr>
  </w:style>
  <w:style w:type="character" w:default="1" w:styleId="13">
    <w:name w:val="Default Paragraph Font"/>
    <w:semiHidden/>
    <w:qFormat/>
    <w:uiPriority w:val="0"/>
    <w:rPr>
      <w:rFonts w:ascii="Times New Roman" w:hAnsi="Times New Roman" w:eastAsia="仿宋"/>
      <w:b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9">
    <w:name w:val="Plain Text"/>
    <w:basedOn w:val="1"/>
    <w:qFormat/>
    <w:uiPriority w:val="0"/>
    <w:rPr>
      <w:rFonts w:ascii="宋体" w:hAnsi="Courier New" w:cs="Times New Roman"/>
      <w:kern w:val="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kern w:val="28"/>
      <w:sz w:val="32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5151</Words>
  <Characters>6542</Characters>
  <Lines>0</Lines>
  <Paragraphs>0</Paragraphs>
  <TotalTime>16</TotalTime>
  <ScaleCrop>false</ScaleCrop>
  <LinksUpToDate>false</LinksUpToDate>
  <CharactersWithSpaces>6577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2023-03-24T05:58:00Z</dcterms:created>
  <dc:creator>Administrator</dc:creator>
  <cp:lastModifiedBy>青葱</cp:lastModifiedBy>
  <dcterms:modified xsi:type="dcterms:W3CDTF">2023-05-22T00:45:55Z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9841588D253F4754B6C6A8126860BC27</vt:lpwstr>
  </property>
</Properties>
</file>