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1" w:lineRule="atLeast"/>
        <w:jc w:val="center"/>
      </w:pPr>
      <w:r>
        <w:rPr>
          <w:color w:val="333333"/>
          <w:bdr w:val="none" w:color="auto" w:sz="0" w:space="0"/>
        </w:rPr>
        <w:t>城镇排水与污水处理条例 国务院令第641号</w:t>
      </w:r>
    </w:p>
    <w:p>
      <w:pPr>
        <w:keepNext w:val="0"/>
        <w:keepLines w:val="0"/>
        <w:widowControl w:val="0"/>
        <w:suppressLineNumbers w:val="0"/>
        <w:autoSpaceDE w:val="0"/>
        <w:autoSpaceDN/>
        <w:spacing w:before="0" w:beforeAutospacing="1" w:after="0" w:afterAutospacing="1"/>
        <w:ind w:left="0" w:right="0"/>
        <w:jc w:val="center"/>
      </w:pPr>
      <w:r>
        <w:rPr>
          <w:rFonts w:ascii="黑体" w:hAnsi="å¾®è½¯é›…é»‘" w:eastAsia="黑体" w:cs="黑体"/>
          <w:i w:val="0"/>
          <w:caps w:val="0"/>
          <w:color w:val="333333"/>
          <w:spacing w:val="0"/>
          <w:kern w:val="2"/>
          <w:sz w:val="32"/>
          <w:szCs w:val="32"/>
          <w:shd w:val="clear" w:fill="FFFFFF"/>
          <w:lang w:val="en-US" w:eastAsia="zh-CN" w:bidi="ar"/>
        </w:rPr>
        <w:t>第一章</w:t>
      </w:r>
      <w:r>
        <w:rPr>
          <w:rFonts w:hint="eastAsia" w:ascii="黑体" w:hAnsi="å¾®è½¯é›…é»‘" w:eastAsia="黑体" w:cs="黑体"/>
          <w:i w:val="0"/>
          <w:caps w:val="0"/>
          <w:color w:val="333333"/>
          <w:spacing w:val="0"/>
          <w:kern w:val="2"/>
          <w:sz w:val="32"/>
          <w:szCs w:val="32"/>
          <w:shd w:val="clear" w:fill="FFFFFF"/>
          <w:lang w:val="en-US" w:eastAsia="zh-CN" w:bidi="ar"/>
        </w:rPr>
        <w:t xml:space="preserve"> 总 则</w:t>
      </w:r>
    </w:p>
    <w:p>
      <w:pPr>
        <w:keepNext w:val="0"/>
        <w:keepLines w:val="0"/>
        <w:widowControl w:val="0"/>
        <w:suppressLineNumbers w:val="0"/>
        <w:autoSpaceDE w:val="0"/>
        <w:autoSpaceDN/>
        <w:spacing w:before="0" w:beforeAutospacing="1" w:after="0" w:afterAutospacing="1"/>
        <w:ind w:left="0" w:right="0"/>
        <w:jc w:val="left"/>
      </w:pPr>
      <w:r>
        <w:rPr>
          <w:rFonts w:hint="eastAsia" w:ascii="仿宋_GB2312" w:hAnsi="仿宋_GB2312" w:eastAsia="黑体" w:cs="仿宋_GB2312"/>
          <w:i w:val="0"/>
          <w:caps w:val="0"/>
          <w:color w:val="333333"/>
          <w:spacing w:val="0"/>
          <w:kern w:val="2"/>
          <w:sz w:val="32"/>
          <w:szCs w:val="32"/>
          <w:shd w:val="clear" w:fill="FFFFFF"/>
          <w:lang w:val="en-US" w:eastAsia="zh-CN" w:bidi="ar"/>
        </w:rPr>
        <w:t> </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黑体" w:hAnsi="仿宋_GB2312" w:eastAsia="黑体" w:cs="黑体"/>
          <w:i w:val="0"/>
          <w:caps w:val="0"/>
          <w:color w:val="333333"/>
          <w:spacing w:val="0"/>
          <w:kern w:val="2"/>
          <w:sz w:val="32"/>
          <w:szCs w:val="32"/>
          <w:shd w:val="clear" w:fill="FFFFFF"/>
          <w:lang w:val="en-US" w:eastAsia="zh-CN" w:bidi="ar"/>
        </w:rPr>
        <w:t>第一条</w:t>
      </w:r>
      <w:r>
        <w:rPr>
          <w:rFonts w:hint="eastAsia" w:ascii="仿宋_GB2312" w:hAnsi="仿宋_GB2312" w:eastAsia="黑体" w:cs="仿宋_GB2312"/>
          <w:i w:val="0"/>
          <w:caps w:val="0"/>
          <w:color w:val="333333"/>
          <w:spacing w:val="0"/>
          <w:kern w:val="2"/>
          <w:sz w:val="32"/>
          <w:szCs w:val="32"/>
          <w:shd w:val="clear" w:fill="FFFFFF"/>
          <w:lang w:val="en-US" w:eastAsia="zh-CN" w:bidi="ar"/>
        </w:rPr>
        <w:t xml:space="preserve"> </w:t>
      </w:r>
      <w:r>
        <w:rPr>
          <w:rFonts w:hint="eastAsia" w:ascii="仿宋_GB2312" w:hAnsi="å¾®è½¯é›…é»‘" w:eastAsia="仿宋_GB2312" w:cs="仿宋_GB2312"/>
          <w:i w:val="0"/>
          <w:caps w:val="0"/>
          <w:color w:val="333333"/>
          <w:spacing w:val="0"/>
          <w:kern w:val="2"/>
          <w:sz w:val="32"/>
          <w:szCs w:val="32"/>
          <w:shd w:val="clear" w:fill="FFFFFF"/>
          <w:lang w:val="en-US" w:eastAsia="zh-CN" w:bidi="ar"/>
        </w:rPr>
        <w:t>为了加强对城镇排水与污水处理的管理，保障城镇排水与污水处理设施安全运行，防治城镇水污染和内涝灾害，保障公民生命、财产安全和公共安全，保护环境，制定本条例。</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第二条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城镇排水与污水处理的规划，城镇排水与</w:t>
      </w:r>
      <w:bookmarkStart w:id="0" w:name="_GoBack"/>
      <w:bookmarkEnd w:id="0"/>
      <w:r>
        <w:rPr>
          <w:rFonts w:hint="eastAsia" w:ascii="仿宋_GB2312" w:hAnsi="å¾®è½¯é›…é»‘" w:eastAsia="仿宋_GB2312" w:cs="仿宋_GB2312"/>
          <w:i w:val="0"/>
          <w:caps w:val="0"/>
          <w:color w:val="333333"/>
          <w:spacing w:val="0"/>
          <w:kern w:val="2"/>
          <w:sz w:val="32"/>
          <w:szCs w:val="32"/>
          <w:shd w:val="clear" w:fill="FFFFFF"/>
          <w:lang w:val="en-US" w:eastAsia="zh-CN" w:bidi="ar"/>
        </w:rPr>
        <w:t>污水处理设施的建设、维护与保护，向城镇排水设施排水与污水处理，以及城镇内涝防治，适用本条例。</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第三条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县级以上人民政府应当加强对城镇排水与污水处理工作的领导，并将城镇排水与污水处理工作纳入国民经济和社会发展规划。</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第四条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城镇排水与污水处理应当遵循尊重自然、统筹规划、配套建设、保障安全、综合利用的原则。</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第五条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国务院住房城乡建设主管部门指导监督全国城镇排水与污水处理工作。</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    县级以上地方人民政府城镇排水与污水处理主管部门（以下称城镇排水主管部门）负责本行政区域内城镇排水与污水处理的监督管理工作。</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    县级以上人民政府其他有关部门依照本条例和其他有关法律、法规的规定，在各自的职责范围内负责城镇排水与污水处理监督管理的相关工作。</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第六条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国家鼓励采取特许经营、政府购买服务等多种形式，吸引社会资金参与投资、建设和运营城镇排水与污水处理设施。</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    县级以上人民政府鼓励、支持城镇排水与污水处理科学技术研究，推广应用先进适用的技术、工艺、设备和材料，促进污水的再生利用和污泥、雨水的资源化利用，提高城镇排水与污水处理能力。</w:t>
      </w:r>
    </w:p>
    <w:p>
      <w:pPr>
        <w:keepNext w:val="0"/>
        <w:keepLines w:val="0"/>
        <w:widowControl w:val="0"/>
        <w:suppressLineNumbers w:val="0"/>
        <w:autoSpaceDE w:val="0"/>
        <w:autoSpaceDN/>
        <w:spacing w:before="0" w:beforeAutospacing="1" w:after="0" w:afterAutospacing="1"/>
        <w:ind w:left="0" w:right="0"/>
        <w:jc w:val="left"/>
      </w:pP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p>
    <w:p>
      <w:pPr>
        <w:keepNext w:val="0"/>
        <w:keepLines w:val="0"/>
        <w:widowControl w:val="0"/>
        <w:suppressLineNumbers w:val="0"/>
        <w:autoSpaceDE w:val="0"/>
        <w:autoSpaceDN/>
        <w:spacing w:before="0" w:beforeAutospacing="1" w:after="0" w:afterAutospacing="1"/>
        <w:ind w:left="0" w:right="0"/>
        <w:jc w:val="center"/>
      </w:pPr>
      <w:r>
        <w:rPr>
          <w:rFonts w:hint="eastAsia" w:ascii="黑体" w:hAnsi="å¾®è½¯é›…é»‘" w:eastAsia="黑体" w:cs="黑体"/>
          <w:i w:val="0"/>
          <w:caps w:val="0"/>
          <w:color w:val="333333"/>
          <w:spacing w:val="0"/>
          <w:kern w:val="2"/>
          <w:sz w:val="32"/>
          <w:szCs w:val="32"/>
          <w:shd w:val="clear" w:fill="FFFFFF"/>
          <w:lang w:val="en-US" w:eastAsia="zh-CN" w:bidi="ar"/>
        </w:rPr>
        <w:t>第二章 规划与建设</w:t>
      </w:r>
    </w:p>
    <w:p>
      <w:pPr>
        <w:keepNext w:val="0"/>
        <w:keepLines w:val="0"/>
        <w:widowControl w:val="0"/>
        <w:suppressLineNumbers w:val="0"/>
        <w:autoSpaceDE w:val="0"/>
        <w:autoSpaceDN/>
        <w:spacing w:before="0" w:beforeAutospacing="1" w:after="0" w:afterAutospacing="1"/>
        <w:ind w:left="0" w:right="0"/>
        <w:jc w:val="left"/>
      </w:pPr>
      <w:r>
        <w:rPr>
          <w:rFonts w:hint="eastAsia" w:ascii="仿宋_GB2312" w:hAnsi="仿宋_GB2312" w:eastAsia="黑体" w:cs="仿宋_GB2312"/>
          <w:i w:val="0"/>
          <w:caps w:val="0"/>
          <w:color w:val="333333"/>
          <w:spacing w:val="0"/>
          <w:kern w:val="2"/>
          <w:sz w:val="32"/>
          <w:szCs w:val="32"/>
          <w:shd w:val="clear" w:fill="FFFFFF"/>
          <w:lang w:val="en-US" w:eastAsia="zh-CN" w:bidi="ar"/>
        </w:rPr>
        <w:t> </w:t>
      </w:r>
    </w:p>
    <w:p>
      <w:pPr>
        <w:keepNext w:val="0"/>
        <w:keepLines w:val="0"/>
        <w:widowControl w:val="0"/>
        <w:suppressLineNumbers w:val="0"/>
        <w:autoSpaceDE w:val="0"/>
        <w:autoSpaceDN/>
        <w:spacing w:before="0" w:beforeAutospacing="1" w:after="0" w:afterAutospacing="1"/>
        <w:ind w:left="0" w:right="0"/>
        <w:jc w:val="left"/>
      </w:pP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å¾®è½¯é›…é»‘" w:eastAsia="黑体" w:cs="黑体"/>
          <w:i w:val="0"/>
          <w:caps w:val="0"/>
          <w:color w:val="333333"/>
          <w:spacing w:val="0"/>
          <w:kern w:val="2"/>
          <w:sz w:val="32"/>
          <w:szCs w:val="32"/>
          <w:shd w:val="clear" w:fill="FFFFFF"/>
          <w:lang w:val="en-US" w:eastAsia="zh-CN" w:bidi="ar"/>
        </w:rPr>
        <w:t>第七条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 国务院住房城乡建设主管部门会同国务院有关部门，编制全国的城镇排水与污水处理规划，明确全国城镇排水与污水处理的中长期发展目标、发展战略、布局、任务以及保障措施等。</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排水主管部门会同有关部门，根据当地经济社会发展水平以及地理、气候特征，编制本行政区域的城镇排水与污水处理规划，明确排水与污水处理目标与标准，排水量与排水模式，污水处理与再生利用、污泥处理处置要求，排涝措施，城镇排水与污水处理设施的规模、布局、建设时序和建设用地以及保障措施等；易发生内涝的城市、镇，还应当编制城镇内涝防治专项规划，并纳入本行政区域的城镇排水与污水处理规划。</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第八条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城镇排水与污水处理规划的编制，应当依据国民经济和社会发展规划、城乡规划、土地利用总体规划、水污染防治规划和防洪规划，并与城镇开发建设、道路、绿地、水系等专项规划相衔接。</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    城镇内涝防治专项规划的编制，应当根据城镇人口与规模、降雨规律、暴雨内涝风险等因素，合理确定内涝防治目标和要求，充分利用自然生态系统，提高雨水滞渗、调蓄和排放能力。</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第九条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城镇排水主管部门应当将编制的城镇排水与污水处理规划报本级人民政府批准后组织实施，并报上一级人民政府城镇排水主管部门备案。</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    城镇排水与污水处理规划一经批准公布，应当严格执行；因经济社会发展确需修改的，应当按照原审批程序报送审批。</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第十条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县级以上地方人民政府应当根据城镇排水与污水处理规划的要求，加大对城镇排水与污水处理设施建设和维护的投入。</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第十一条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城乡规划和城镇排水与污水处理规划确定的城镇排水与污水处理设施建设用地，不得擅自改变用途。</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第十二条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县级以上地方人民政府应当按照先规划后建设的原则，依据城镇排水与污水处理规划，合理确定城镇排水与污水处理设施建设标准，统筹安排管网、泵站、污水处理厂以及污泥处理处置、再生水利用、雨水调蓄和排放等排水与污水处理设施建设和改造。</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新区的开发和建设，应当按照城镇排水与污水处理规划确定的建设时序，优先安排排水与污水处理设施建设；未建或者已建但未达到国家有关标准的，应当按照年度改造计划进行改造，提高城镇排水与污水处理能力。</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第十三条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县级以上地方人民政府应当按照城镇排涝要求，结合城镇用地性质和条件，加强雨水管网、泵站以及雨水调蓄、超标雨水径流排放等设施建设和改造。</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新建、改建、扩建市政基础设施工程应当配套建设雨水收集利用设施，增加绿地、砂石地面、可渗透路面和自然地面对雨水的滞渗能力，利用建筑物、停车场、广场、道路等建设雨水收集利用设施，削减雨水径流，提高城镇内涝防治能力。</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    新区建设与旧城区改建，应当按照城镇排水与污水处理规划确定的雨水径流控制要求建设相关设施。</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第十四条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与污水处理规划范围内的城镇排水与污水处理设施建设项目以及需要与城镇排水与污水处理设施相连接的新建、改建、扩建建设工程，城乡规划主管部门在依法核发建设用地规划许可证时，应当征求城镇排水主管部门的意见。城镇排水主管部门应当就排水设计方案是否符合城镇排水与污水处理规划和相关标准提出意见。</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    建设单位应当按照排水设计方案建设连接管网等设施；未建设连接管网等设施的，不得投入使用。城镇排水主管部门或者其委托的专门机构应当加强指导和监督。</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第十五条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城镇排水与污水处理设施建设工程竣工后，建设单位应当依法组织竣工验收。竣工验收合格的，方可交付使用，并自竣工验收合格之日起15日内，将竣工验收报告及相关资料报城镇排水主管部门备案。</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第十六条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与污水处理设施竣工验收合格后，由城镇排水主管部门通过招标投标、委托等方式确定符合条件的设施维护运营单位负责管理。特许经营合同、委托运营合同涉及污染物削减和污水处理运营服务费的，城镇排水主管部门应当征求环境保护主管部门、价格主管部门的意见。国家鼓励实施城镇污水处理特许经营制度。具体办法由国务院住房城乡建设主管部门会同国务院有关部门制定。</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    城镇排水与污水处理设施维护运营单位应当具备下列条件：</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（一）有法人资格；</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（二）有与从事城镇排水与污水处理设施维护运营活动相适应的资金和设备；</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（三）有完善的运行管理和安全管理制度；</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（四）技术负责人和关键岗位人员经专业培训并考核合格；</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（五）有相应的良好业绩和维护运营经验；</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（六）法律、法规规定的其他条件。</w:t>
      </w:r>
    </w:p>
    <w:p>
      <w:pPr>
        <w:keepNext w:val="0"/>
        <w:keepLines w:val="0"/>
        <w:widowControl w:val="0"/>
        <w:suppressLineNumbers w:val="0"/>
        <w:autoSpaceDE w:val="0"/>
        <w:autoSpaceDN/>
        <w:spacing w:before="0" w:beforeAutospacing="1" w:after="0" w:afterAutospacing="1"/>
        <w:ind w:left="0" w:right="0"/>
        <w:jc w:val="left"/>
      </w:pP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p>
    <w:p>
      <w:pPr>
        <w:keepNext w:val="0"/>
        <w:keepLines w:val="0"/>
        <w:widowControl w:val="0"/>
        <w:suppressLineNumbers w:val="0"/>
        <w:autoSpaceDE w:val="0"/>
        <w:autoSpaceDN/>
        <w:spacing w:before="0" w:beforeAutospacing="1" w:after="0" w:afterAutospacing="1"/>
        <w:ind w:left="0" w:right="0"/>
        <w:jc w:val="center"/>
      </w:pPr>
      <w:r>
        <w:rPr>
          <w:rFonts w:hint="eastAsia" w:ascii="黑体" w:hAnsi="å¾®è½¯é›…é»‘" w:eastAsia="黑体" w:cs="黑体"/>
          <w:i w:val="0"/>
          <w:caps w:val="0"/>
          <w:color w:val="333333"/>
          <w:spacing w:val="0"/>
          <w:kern w:val="2"/>
          <w:sz w:val="32"/>
          <w:szCs w:val="32"/>
          <w:shd w:val="clear" w:fill="FFFFFF"/>
          <w:lang w:val="en-US" w:eastAsia="zh-CN" w:bidi="ar"/>
        </w:rPr>
        <w:t>第三章 排 水</w:t>
      </w:r>
    </w:p>
    <w:p>
      <w:pPr>
        <w:keepNext w:val="0"/>
        <w:keepLines w:val="0"/>
        <w:widowControl w:val="0"/>
        <w:suppressLineNumbers w:val="0"/>
        <w:autoSpaceDE w:val="0"/>
        <w:autoSpaceDN/>
        <w:spacing w:before="0" w:beforeAutospacing="1" w:after="0" w:afterAutospacing="1"/>
        <w:ind w:left="0" w:right="0"/>
        <w:jc w:val="left"/>
      </w:pPr>
      <w:r>
        <w:rPr>
          <w:rFonts w:hint="eastAsia" w:ascii="仿宋_GB2312" w:hAnsi="仿宋_GB2312" w:eastAsia="黑体" w:cs="仿宋_GB2312"/>
          <w:i w:val="0"/>
          <w:caps w:val="0"/>
          <w:color w:val="333333"/>
          <w:spacing w:val="0"/>
          <w:kern w:val="2"/>
          <w:sz w:val="32"/>
          <w:szCs w:val="32"/>
          <w:shd w:val="clear" w:fill="FFFFFF"/>
          <w:lang w:val="en-US" w:eastAsia="zh-CN" w:bidi="ar"/>
        </w:rPr>
        <w:t> </w:t>
      </w:r>
    </w:p>
    <w:p>
      <w:pPr>
        <w:keepNext w:val="0"/>
        <w:keepLines w:val="0"/>
        <w:widowControl w:val="0"/>
        <w:numPr>
          <w:numId w:val="0"/>
        </w:numPr>
        <w:suppressLineNumbers w:val="0"/>
        <w:autoSpaceDE w:val="0"/>
        <w:autoSpaceDN/>
        <w:spacing w:before="0" w:beforeAutospacing="1" w:after="0" w:afterAutospacing="1"/>
        <w:ind w:left="0" w:right="0" w:firstLine="480" w:firstLineChars="200"/>
        <w:jc w:val="left"/>
      </w:pPr>
      <w:r>
        <w:rPr>
          <w:rFonts w:hint="default" w:ascii="å¾®è½¯é›…é»‘" w:hAnsi="å¾®è½¯é›…é»‘" w:eastAsia="å¾®è½¯é›…é»‘" w:cs="å¾®è½¯é›…é»‘"/>
          <w:color w:val="333333"/>
          <w:kern w:val="0"/>
          <w:sz w:val="24"/>
          <w:szCs w:val="24"/>
          <w:lang w:val="en-US" w:eastAsia="zh-CN" w:bidi="ar"/>
        </w:rPr>
        <w:t>&lt;!--[if !supportLists]--&gt;</w:t>
      </w:r>
      <w:r>
        <w:rPr>
          <w:rFonts w:hint="eastAsia" w:ascii="仿宋_GB2312" w:hAnsi="å¾®è½¯é›…é»‘" w:eastAsia="仿宋_GB2312" w:cs="仿宋_GB2312"/>
          <w:i w:val="0"/>
          <w:caps w:val="0"/>
          <w:color w:val="333333"/>
          <w:spacing w:val="0"/>
          <w:kern w:val="2"/>
          <w:sz w:val="32"/>
          <w:szCs w:val="32"/>
          <w:shd w:val="clear" w:fill="FFFFFF"/>
          <w:lang w:val="en-US" w:eastAsia="zh-CN" w:bidi="ar"/>
        </w:rPr>
        <w:t>第十七条　</w:t>
      </w:r>
      <w:r>
        <w:rPr>
          <w:rFonts w:hint="default" w:ascii="å¾®è½¯é›…é»‘" w:hAnsi="å¾®è½¯é›…é»‘" w:eastAsia="å¾®è½¯é›…é»‘" w:cs="å¾®è½¯é›…é»‘"/>
          <w:color w:val="333333"/>
          <w:kern w:val="0"/>
          <w:sz w:val="24"/>
          <w:szCs w:val="24"/>
          <w:lang w:val="en-US" w:eastAsia="zh-CN" w:bidi="ar"/>
        </w:rPr>
        <w:t>&lt;!--[endif]--&gt;</w:t>
      </w:r>
      <w:r>
        <w:rPr>
          <w:rFonts w:hint="eastAsia" w:ascii="仿宋_GB2312" w:hAnsi="å¾®è½¯é›…é»‘" w:eastAsia="仿宋_GB2312" w:cs="仿宋_GB2312"/>
          <w:i w:val="0"/>
          <w:caps w:val="0"/>
          <w:color w:val="333333"/>
          <w:spacing w:val="0"/>
          <w:kern w:val="2"/>
          <w:sz w:val="32"/>
          <w:szCs w:val="32"/>
          <w:shd w:val="clear" w:fill="FFFFFF"/>
          <w:lang w:val="en-US" w:eastAsia="zh-CN" w:bidi="ar"/>
        </w:rPr>
        <w:t>县级以上地方人民政府应当根据当地降雨规律和暴雨内涝风险情况，结合气象、水文资料，建立排水设施地理信息系统，加强雨水排放管理，提高城镇内涝防治水平。</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县级以上地方人民政府应当组织有关部门、单位采取相应的预防治理措施，建立城镇内涝防治预警、会商、联动机制，发挥河道行洪能力和水库、洼淀、湖泊调蓄洪水的功能，加强对城镇排水设施的管理和河道防护、整治，因地制宜地采取定期清淤疏浚等措施，确保雨水排放畅通，共同做好城镇内涝防治工作。</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第十八条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城镇排水主管部门应当按照城镇内涝防治专项规划的要求，确定雨水收集利用设施建设标准，明确雨水的排水分区和排水出路，合理控制雨水径流。</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第十九条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除干旱地区外，新区建设应当实行雨水、污水分流；对实行雨水、污水合流的地区，应当按照城镇排水与污水处理规划要求，进行雨水、污水分流改造。雨水、污水分流改造可以结合旧城区改建和道路建设同时进行。</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    在雨水、污水分流地区，新区建设和旧城区改建不得将雨水管网、污水管网相互混接。</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    在有条件的地区，应当逐步推进初期雨水收集与处理，合理确定截流倍数，通过设置初期雨水贮存池、建设截流干管等方式，加强对初期雨水的排放调控和污染防治。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第二十条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城镇排水设施覆盖范围内的排水单位和个人，应当按照国家有关规定将污水排入城镇排水设施。</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在雨水、污水分流地区，不得将污水排入雨水管网。</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第二十一条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    排水户应当按照污水排入排水管网许可证的要求排放污水。</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第二十二条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排水户申请领取污水排入排水管网许可证应当具备下列条件：</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（一）排放口的设置符合城镇排水与污水处理规划的要求；</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（二）按照国家有关规定建设相应的预处理设施和水质、水量检测设施；</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（三）排放的污水符合国家或者地方规定的有关排放标准；</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（四）法律、法规规定的其他条件。</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符合前款规定条件的，由城镇排水主管部门核发污水排入排水管网许可证；具体办法由国务院住房城乡建设主管部门制定。</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第二十三条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城镇排水主管部门应当加强对排放口设置以及预处理设施和水质、水量检测设施建设的指导和监督；对不符合规划要求或者国家有关规定的，应当要求排水户采取措施，限期整改。</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第二十四条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城镇排水主管部门委托的排水监测机构，应当对排水户排放污水的水质和水量进行监测，并建立排水监测档案。排水户应当接受监测，如实提供有关资料。</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    列入重点排污单位名录的排水户安装的水污染物排放自动监测设备，应当与环境保护主管部门的监控设备联网。环境保护主管部门应当将监测数据与城镇排水主管部门共享。</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第二十五条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因城镇排水设施维护或者检修可能对排水造成影响的，城镇排水设施维护运营单位应当提前24小时通知相关排水户；可能对排水造成严重影响的，应当事先向城镇排水主管部门报告，采取应急处理措施，并向社会公告。</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第二十六条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设置于机动车道路上的窨井，应当按照国家有关规定进行建设，保证其承载力和稳定性等符合相关要求。</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排水管网窨井盖应当具备防坠落和防盗窃功能，满足结构强度要求。</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第二十七条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主管部门应当按照国家有关规定建立城镇排涝风险评估制度和灾害后评估制度，在汛前对城镇排水设施进行全面检查，对发现的问题，责成有关单位限期处理，并加强城镇广场、立交桥下、地下构筑物、棚户区等易涝点的治理，强化排涝措施，增加必要的强制排水设施和装备。</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    城镇排水设施维护运营单位应当按照防汛要求，对城镇排水设施进行全面检查、维护、清疏，确保设施安全运行。</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    在汛期，有管辖权的人民政府防汛指挥机构应当加强对易涝点的巡查，发现险情，立即采取措施。有关单位和个人在汛期应当服从有管辖权的人民政府防汛指挥机构的统一调度指挥或者监督。</w:t>
      </w:r>
    </w:p>
    <w:p>
      <w:pPr>
        <w:keepNext w:val="0"/>
        <w:keepLines w:val="0"/>
        <w:widowControl w:val="0"/>
        <w:suppressLineNumbers w:val="0"/>
        <w:autoSpaceDE w:val="0"/>
        <w:autoSpaceDN/>
        <w:spacing w:before="0" w:beforeAutospacing="1" w:after="0" w:afterAutospacing="1"/>
        <w:ind w:left="0" w:right="0"/>
        <w:jc w:val="left"/>
      </w:pP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p>
    <w:p>
      <w:pPr>
        <w:keepNext w:val="0"/>
        <w:keepLines w:val="0"/>
        <w:widowControl w:val="0"/>
        <w:suppressLineNumbers w:val="0"/>
        <w:autoSpaceDE w:val="0"/>
        <w:autoSpaceDN/>
        <w:spacing w:before="0" w:beforeAutospacing="1" w:after="0" w:afterAutospacing="1"/>
        <w:ind w:left="0" w:right="0"/>
        <w:jc w:val="center"/>
      </w:pPr>
      <w:r>
        <w:rPr>
          <w:rFonts w:hint="eastAsia" w:ascii="黑体" w:hAnsi="å¾®è½¯é›…é»‘" w:eastAsia="黑体" w:cs="黑体"/>
          <w:i w:val="0"/>
          <w:caps w:val="0"/>
          <w:color w:val="333333"/>
          <w:spacing w:val="0"/>
          <w:kern w:val="2"/>
          <w:sz w:val="32"/>
          <w:szCs w:val="32"/>
          <w:shd w:val="clear" w:fill="FFFFFF"/>
          <w:lang w:val="en-US" w:eastAsia="zh-CN" w:bidi="ar"/>
        </w:rPr>
        <w:t>第四章 污水处理</w:t>
      </w:r>
    </w:p>
    <w:p>
      <w:pPr>
        <w:keepNext w:val="0"/>
        <w:keepLines w:val="0"/>
        <w:widowControl w:val="0"/>
        <w:suppressLineNumbers w:val="0"/>
        <w:autoSpaceDE w:val="0"/>
        <w:autoSpaceDN/>
        <w:spacing w:before="0" w:beforeAutospacing="1" w:after="0" w:afterAutospacing="1"/>
        <w:ind w:left="0" w:right="0"/>
        <w:jc w:val="left"/>
      </w:pPr>
      <w:r>
        <w:rPr>
          <w:rFonts w:hint="eastAsia" w:ascii="仿宋_GB2312" w:hAnsi="仿宋_GB2312" w:eastAsia="黑体" w:cs="仿宋_GB2312"/>
          <w:i w:val="0"/>
          <w:caps w:val="0"/>
          <w:color w:val="333333"/>
          <w:spacing w:val="0"/>
          <w:kern w:val="2"/>
          <w:sz w:val="32"/>
          <w:szCs w:val="32"/>
          <w:shd w:val="clear" w:fill="FFFFFF"/>
          <w:lang w:val="en-US" w:eastAsia="zh-CN" w:bidi="ar"/>
        </w:rPr>
        <w:t> </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黑体" w:hAnsi="仿宋_GB2312" w:eastAsia="黑体" w:cs="黑体"/>
          <w:i w:val="0"/>
          <w:caps w:val="0"/>
          <w:color w:val="333333"/>
          <w:spacing w:val="0"/>
          <w:kern w:val="2"/>
          <w:sz w:val="32"/>
          <w:szCs w:val="32"/>
          <w:shd w:val="clear" w:fill="FFFFFF"/>
          <w:lang w:val="en-US" w:eastAsia="zh-CN" w:bidi="ar"/>
        </w:rPr>
        <w:t>第二十八条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城镇排水主管部门应当与城镇污水处理设施维护运营单位签订维护运营合同，明确双方权利义务。</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    城镇污水处理设施维护运营单位应当依照法律、法规和有关规定以及维护运营合同进行维护运营，定期向社会公开有关维护运营信息，并接受相关部门和社会公众的监督。</w:t>
      </w:r>
    </w:p>
    <w:p>
      <w:pPr>
        <w:keepNext w:val="0"/>
        <w:keepLines w:val="0"/>
        <w:widowControl w:val="0"/>
        <w:suppressLineNumbers w:val="0"/>
        <w:autoSpaceDE w:val="0"/>
        <w:autoSpaceDN/>
        <w:spacing w:before="0" w:beforeAutospacing="1" w:after="0" w:afterAutospacing="1"/>
        <w:ind w:left="0" w:right="0" w:firstLine="640"/>
        <w:jc w:val="left"/>
      </w:pPr>
      <w:r>
        <w:rPr>
          <w:rFonts w:hint="eastAsia" w:ascii="黑体" w:hAnsi="仿宋_GB2312" w:eastAsia="黑体" w:cs="黑体"/>
          <w:i w:val="0"/>
          <w:caps w:val="0"/>
          <w:color w:val="333333"/>
          <w:spacing w:val="0"/>
          <w:kern w:val="2"/>
          <w:sz w:val="32"/>
          <w:szCs w:val="32"/>
          <w:shd w:val="clear" w:fill="FFFFFF"/>
          <w:lang w:val="en-US" w:eastAsia="zh-CN" w:bidi="ar"/>
        </w:rPr>
        <w:t>第二十九条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城镇污水处理设施维护运营单位应当保证出水水质符合国家和地方规定的排放标准，不得排放不达标污水。</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    城镇污水处理设施维护运营单位应当按照国家有关规定向价格主管部门提交相关成本信息。</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    城镇排水主管部门核定城镇污水处理运营成本，应当考虑主要污染物削减情况。</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第三十条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第三十一条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城镇污水处理设施维护运营单位不得擅自停运城镇污水处理设施，因检修等原因需要停运或者部分停运城镇污水处理设施的，应当在90个工作日前向城镇排水主管部门、环境保护主管部门报告。</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污水处理设施维护运营单位在出现进水水质和水量发生重大变化可能导致出水水质超标，或者发生影响城镇污水处理设施安全运行的突发情况时，应当立即采取应急处理措施，并向城镇排水主管部门、环境保护主管部门报告。</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    城镇排水主管部门或者环境保护主管部门接到报告后，应当及时核查处理。</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第三十二条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排水单位和个人应当按照国家有关规定缴纳污水处理费。</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    向城镇污水处理设施排放污水、缴纳污水处理费的，不再缴纳排污费。</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    排水监测机构接受城镇排水主管部门委托从事有关监测活动，不得向城镇污水处理设施维护运营单位和排水户收取任何费用。</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第三十三条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污水处理费应当纳入地方财政预算管理，专项用于城镇污水处理设施的建设、运行和污泥处理处置，不得挪作他用。污水处理费的收费标准不应低于城镇污水处理设施正常运营的成本。因特殊原因，收取的污水处理费不足以支付城镇污水处理设施正常运营的成本的，地方人民政府给予补贴。</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    污水处理费的收取、使用情况应当向社会公开。</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第三十四条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县级以上地方人民政府环境保护主管部门应当依法对城镇污水处理设施的出水水质和水量进行监督检查。</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    城镇排水主管部门应当对城镇污水处理设施运营情况进行监督和考核，并将监督考核情况向社会公布。有关单位和个人应当予以配合。</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    城镇污水处理设施维护运营单位应当为进出水在线监测系统的安全运行提供保障条件。</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第三十五条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主管部门应当根据城镇污水处理设施维护运营单位履行维护运营合同的情况以及环境保护主管部门对城镇污水处理设施出水水质和水量的监督检查结果，核定城镇污水处理设施运营服务费。地方人民政府有关部门应当及时、足额拨付城镇污水处理设施运营服务费。</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第三十六条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主管部门在监督考核中，发现城镇污水处理设施维护运营单位存在未依照法律、法规和有关规定以及维护运营合同进行维护运营，擅自停运或者部分停运城镇污水处理设施，或者其他无法安全运行等情形的，应当要求城镇污水处理设施维护运营单位采取措施，限期整改；逾期不整改的，或者整改后仍无法安全运行的，城镇排水主管部门可以终止维护运营合同。</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    城镇排水主管部门终止与城镇污水处理设施维护运营单位签订的维护运营合同的，应当采取有效措施保障城镇污水处理设施的安全运行。</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第三十七条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国家鼓励城镇污水处理再生利用，工业生产、城市绿化、道路清扫、车辆冲洗、建筑施工以及生态景观等，应当优先使用再生水。</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    县级以上地方人民政府应当根据当地水资源和水环境状况，合理确定再生水利用的规模，制定促进再生水利用的保障措施。</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再生水纳入水资源统一配置，县级以上地方人民政府水行政主管部门应当依法加强指导。</w:t>
      </w:r>
    </w:p>
    <w:p>
      <w:pPr>
        <w:keepNext w:val="0"/>
        <w:keepLines w:val="0"/>
        <w:widowControl w:val="0"/>
        <w:suppressLineNumbers w:val="0"/>
        <w:autoSpaceDE w:val="0"/>
        <w:autoSpaceDN/>
        <w:spacing w:before="0" w:beforeAutospacing="1" w:after="0" w:afterAutospacing="1"/>
        <w:ind w:left="0" w:right="0" w:firstLine="640"/>
        <w:jc w:val="left"/>
      </w:pP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p>
    <w:p>
      <w:pPr>
        <w:keepNext w:val="0"/>
        <w:keepLines w:val="0"/>
        <w:widowControl w:val="0"/>
        <w:suppressLineNumbers w:val="0"/>
        <w:autoSpaceDE w:val="0"/>
        <w:autoSpaceDN/>
        <w:spacing w:before="0" w:beforeAutospacing="1" w:after="0" w:afterAutospacing="1"/>
        <w:ind w:left="0" w:right="0"/>
        <w:jc w:val="center"/>
      </w:pPr>
      <w:r>
        <w:rPr>
          <w:rFonts w:hint="eastAsia" w:ascii="黑体" w:hAnsi="å¾®è½¯é›…é»‘" w:eastAsia="黑体" w:cs="黑体"/>
          <w:i w:val="0"/>
          <w:caps w:val="0"/>
          <w:color w:val="333333"/>
          <w:spacing w:val="0"/>
          <w:kern w:val="2"/>
          <w:sz w:val="32"/>
          <w:szCs w:val="32"/>
          <w:shd w:val="clear" w:fill="FFFFFF"/>
          <w:lang w:val="en-US" w:eastAsia="zh-CN" w:bidi="ar"/>
        </w:rPr>
        <w:t>第五章 设施维护与保护</w:t>
      </w:r>
    </w:p>
    <w:p>
      <w:pPr>
        <w:keepNext w:val="0"/>
        <w:keepLines w:val="0"/>
        <w:widowControl w:val="0"/>
        <w:suppressLineNumbers w:val="0"/>
        <w:autoSpaceDE w:val="0"/>
        <w:autoSpaceDN/>
        <w:spacing w:before="0" w:beforeAutospacing="1" w:after="0" w:afterAutospacing="1"/>
        <w:ind w:left="0" w:right="0"/>
        <w:jc w:val="left"/>
      </w:pPr>
      <w:r>
        <w:rPr>
          <w:rFonts w:hint="eastAsia" w:ascii="仿宋_GB2312" w:hAnsi="仿宋_GB2312" w:eastAsia="黑体" w:cs="仿宋_GB2312"/>
          <w:i w:val="0"/>
          <w:caps w:val="0"/>
          <w:color w:val="333333"/>
          <w:spacing w:val="0"/>
          <w:kern w:val="2"/>
          <w:sz w:val="32"/>
          <w:szCs w:val="32"/>
          <w:shd w:val="clear" w:fill="FFFFFF"/>
          <w:lang w:val="en-US" w:eastAsia="zh-CN" w:bidi="ar"/>
        </w:rPr>
        <w:t> </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黑体" w:hAnsi="仿宋_GB2312" w:eastAsia="黑体" w:cs="黑体"/>
          <w:i w:val="0"/>
          <w:caps w:val="0"/>
          <w:color w:val="333333"/>
          <w:spacing w:val="0"/>
          <w:kern w:val="2"/>
          <w:sz w:val="32"/>
          <w:szCs w:val="32"/>
          <w:shd w:val="clear" w:fill="FFFFFF"/>
          <w:lang w:val="en-US" w:eastAsia="zh-CN" w:bidi="ar"/>
        </w:rPr>
        <w:t>第三十八条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城镇排水与污水处理设施维护运营单位应当建立健全安全生产管理制度，加强对窨井盖等城镇排水与污水处理设施的日常巡查、维修和养护，保障设施安全运行。</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第三十九条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县级以上地方人民政府应当根据实际情况，依法组织编制城镇排水与污水处理应急预案，统筹安排应对突发事件以及城镇排涝所必需的物资。</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    城镇排水与污水处理设施维护运营单位应当制定本单位的应急预案，配备必要的抢险装备、器材，并定期组织演练。</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第四十条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排水户因发生事故或者其他突发事件，排放的污水可能危及城镇排水与污水处理设施安全运行的，应当立即采取措施消除危害，并及时向城镇排水主管部门和环境保护主管部门等有关部门报告。</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    城镇排水与污水处理安全事故或者突发事件发生后，设施维护运营单位应当立即启动本单位应急预案，采取防护措施、组织抢修，并及时向城镇排水主管部门和有关部门报告。</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第四十一条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城镇排水主管部门应当会同有关部门，按照国家有关规定划定城镇排水与污水处理设施保护范围，并向社会公布。</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    在保护范围内，有关单位从事爆破、钻探、打桩、顶进、挖掘、取土等可能影响城镇排水与污水处理设施安全的活动的，应当与设施维护运营单位等共同制定设施保护方案，并采取相应的安全防护措施。</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第四十二条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禁止从事下列危及城镇排水与污水处理设施安全的活动：</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（一）损毁、盗窃城镇排水与污水处理设施；</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（二）穿凿、堵塞城镇排水与污水处理设施；</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（三）向城镇排水与污水处理设施排放、倾倒剧毒、易燃易爆、腐蚀性废液和废渣；</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（四）向城镇排水与污水处理设施倾倒垃圾、渣土、施工泥浆等废弃物；</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（五）建设占压城镇排水与污水处理设施的建筑物、构筑物或者其他设施；</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（六）其他危及城镇排水与污水处理设施安全的活动。</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第四十三条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新建、改建、扩建建设工程，不得影响城镇排水与污水处理设施安全。</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    建设工程开工前，建设单位应当查明工程建设范围内地下城镇排水与污水处理设施的相关情况。城镇排水主管部门及其他相关部门和单位应当及时提供相关资料。</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    建设工程施工范围内有排水管网等城镇排水与污水处理设施的，建设单位应当与施工单位、设施维护运营单位共同制定设施保护方案，并采取相应的安全保护措施。</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    因工程建设需要拆除、改动城镇排水与污水处理设施的，建设单位应当制定拆除、改动方案，报城镇排水主管部门审核，并承担重建、改建和采取临时措施的费用。</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第四十四条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县级以上人民政府城镇排水主管部门应当会同有关部门，加强对城镇排水与污水处理设施运行维护和保护情况的监督检查，并将检查情况及结果向社会公开。实施监督检查时，有权采取下列措施：</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（一）进入现场进行检查、监测；</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（二）查阅、复制有关文件和资料；</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（三）要求被监督检查的单位和个人就有关问题作出说明。</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被监督检查的单位和个人应当予以配合，不得妨碍和阻挠依法进行的监督检查活动。</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第四十五条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审计机关应当加强对城镇排水与污水处理设施建设、运营、维护和保护等资金筹集、管理和使用情况的监督，并公布审计结果。</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p>
    <w:p>
      <w:pPr>
        <w:keepNext w:val="0"/>
        <w:keepLines w:val="0"/>
        <w:widowControl w:val="0"/>
        <w:suppressLineNumbers w:val="0"/>
        <w:autoSpaceDE w:val="0"/>
        <w:autoSpaceDN/>
        <w:spacing w:before="0" w:beforeAutospacing="1" w:after="0" w:afterAutospacing="1"/>
        <w:ind w:left="0" w:right="0"/>
        <w:jc w:val="center"/>
      </w:pPr>
      <w:r>
        <w:rPr>
          <w:rFonts w:hint="eastAsia" w:ascii="黑体" w:hAnsi="å¾®è½¯é›…é»‘" w:eastAsia="黑体" w:cs="黑体"/>
          <w:i w:val="0"/>
          <w:caps w:val="0"/>
          <w:color w:val="333333"/>
          <w:spacing w:val="0"/>
          <w:kern w:val="2"/>
          <w:sz w:val="32"/>
          <w:szCs w:val="32"/>
          <w:shd w:val="clear" w:fill="FFFFFF"/>
          <w:lang w:val="en-US" w:eastAsia="zh-CN" w:bidi="ar"/>
        </w:rPr>
        <w:t>第六章 法律责任</w:t>
      </w:r>
    </w:p>
    <w:p>
      <w:pPr>
        <w:keepNext w:val="0"/>
        <w:keepLines w:val="0"/>
        <w:widowControl w:val="0"/>
        <w:suppressLineNumbers w:val="0"/>
        <w:autoSpaceDE w:val="0"/>
        <w:autoSpaceDN/>
        <w:spacing w:before="0" w:beforeAutospacing="1" w:after="0" w:afterAutospacing="1"/>
        <w:ind w:left="0" w:right="0"/>
        <w:jc w:val="left"/>
      </w:pPr>
      <w:r>
        <w:rPr>
          <w:rFonts w:hint="eastAsia" w:ascii="仿宋_GB2312" w:hAnsi="仿宋_GB2312" w:eastAsia="黑体" w:cs="仿宋_GB2312"/>
          <w:i w:val="0"/>
          <w:caps w:val="0"/>
          <w:color w:val="333333"/>
          <w:spacing w:val="0"/>
          <w:kern w:val="2"/>
          <w:sz w:val="32"/>
          <w:szCs w:val="32"/>
          <w:shd w:val="clear" w:fill="FFFFFF"/>
          <w:lang w:val="en-US" w:eastAsia="zh-CN" w:bidi="ar"/>
        </w:rPr>
        <w:t> </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黑体" w:hAnsi="仿宋_GB2312" w:eastAsia="黑体" w:cs="黑体"/>
          <w:i w:val="0"/>
          <w:caps w:val="0"/>
          <w:color w:val="333333"/>
          <w:spacing w:val="0"/>
          <w:kern w:val="2"/>
          <w:sz w:val="32"/>
          <w:szCs w:val="32"/>
          <w:shd w:val="clear" w:fill="FFFFFF"/>
          <w:lang w:val="en-US" w:eastAsia="zh-CN" w:bidi="ar"/>
        </w:rPr>
        <w:t>第四十六条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    违反本条例规定，核发污水排入排水管网许可证、排污许可证后不实施监督检查的，对核发许可证的部门及其工作人员依照前款规定处理。</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第四十七条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违反本条例规定，城镇排水主管部门对不符合法定条件的排水户核发污水排入排水管网许可证的，或者对符合法定条件的排水户不予核发污水排入排水管网许可证的，对直接负责的主管人员和其他直接责任人员依法给予处分；直接负责的主管人员和其他直接责任人员的行为构成犯罪的，依法追究刑事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第四十八条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违反本条例规定，在雨水、污水分流地区，建设单位、施工单位将雨水管网、污水管网相互混接的，由城镇排水主管部门责令改正，处5万元以上10万元以下的罚款；造成损失的，依法承担赔偿责任。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第四十九条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第五十条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第五十一条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第五十二条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第五十三条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第五十四条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违反本条例规定，排水单位或者个人不缴纳污水处理费的，由城镇排水主管部门责令限期缴纳，逾期拒不缴纳的，处应缴纳污水处理费数额1倍以上3倍以下罚款。</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第五十五条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（一）未按照国家有关规定履行日常巡查、维修和养护责任，保障设施安全运行的；</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（二）未及时采取防护措施、组织事故抢修的；</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（三）因巡查、维护不到位，导致窨井盖丢失、损毁，造成人员伤亡和财产损失的。</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第五十六条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第五十七条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p>
    <w:p>
      <w:pPr>
        <w:keepNext w:val="0"/>
        <w:keepLines w:val="0"/>
        <w:widowControl w:val="0"/>
        <w:suppressLineNumbers w:val="0"/>
        <w:autoSpaceDE w:val="0"/>
        <w:autoSpaceDN/>
        <w:spacing w:before="0" w:beforeAutospacing="1" w:after="0" w:afterAutospacing="1"/>
        <w:ind w:left="0" w:right="0"/>
        <w:jc w:val="center"/>
      </w:pPr>
      <w:r>
        <w:rPr>
          <w:rFonts w:hint="eastAsia" w:ascii="黑体" w:hAnsi="å¾®è½¯é›…é»‘" w:eastAsia="黑体" w:cs="黑体"/>
          <w:i w:val="0"/>
          <w:caps w:val="0"/>
          <w:color w:val="333333"/>
          <w:spacing w:val="0"/>
          <w:kern w:val="2"/>
          <w:sz w:val="32"/>
          <w:szCs w:val="32"/>
          <w:shd w:val="clear" w:fill="FFFFFF"/>
          <w:lang w:val="en-US" w:eastAsia="zh-CN" w:bidi="ar"/>
        </w:rPr>
        <w:t>第七章 附 则</w:t>
      </w:r>
    </w:p>
    <w:p>
      <w:pPr>
        <w:keepNext w:val="0"/>
        <w:keepLines w:val="0"/>
        <w:widowControl w:val="0"/>
        <w:suppressLineNumbers w:val="0"/>
        <w:autoSpaceDE w:val="0"/>
        <w:autoSpaceDN/>
        <w:spacing w:before="0" w:beforeAutospacing="1" w:after="0" w:afterAutospacing="1"/>
        <w:ind w:left="0" w:right="0"/>
        <w:jc w:val="left"/>
      </w:pPr>
      <w:r>
        <w:rPr>
          <w:rFonts w:hint="eastAsia" w:ascii="仿宋_GB2312" w:hAnsi="仿宋_GB2312" w:eastAsia="黑体" w:cs="仿宋_GB2312"/>
          <w:i w:val="0"/>
          <w:caps w:val="0"/>
          <w:color w:val="333333"/>
          <w:spacing w:val="0"/>
          <w:kern w:val="2"/>
          <w:sz w:val="32"/>
          <w:szCs w:val="32"/>
          <w:shd w:val="clear" w:fill="FFFFFF"/>
          <w:lang w:val="en-US" w:eastAsia="zh-CN" w:bidi="ar"/>
        </w:rPr>
        <w:t> </w:t>
      </w:r>
    </w:p>
    <w:p>
      <w:pPr>
        <w:keepNext w:val="0"/>
        <w:keepLines w:val="0"/>
        <w:widowControl w:val="0"/>
        <w:suppressLineNumbers w:val="0"/>
        <w:autoSpaceDE w:val="0"/>
        <w:autoSpaceDN/>
        <w:spacing w:before="0" w:beforeAutospacing="1" w:after="0" w:afterAutospacing="1"/>
        <w:ind w:left="0" w:right="0" w:firstLine="640" w:firstLineChars="200"/>
        <w:jc w:val="left"/>
      </w:pPr>
      <w:r>
        <w:rPr>
          <w:rFonts w:hint="eastAsia" w:ascii="黑体" w:hAnsi="仿宋_GB2312" w:eastAsia="黑体" w:cs="黑体"/>
          <w:i w:val="0"/>
          <w:caps w:val="0"/>
          <w:color w:val="333333"/>
          <w:spacing w:val="0"/>
          <w:kern w:val="2"/>
          <w:sz w:val="32"/>
          <w:szCs w:val="32"/>
          <w:shd w:val="clear" w:fill="FFFFFF"/>
          <w:lang w:val="en-US" w:eastAsia="zh-CN" w:bidi="ar"/>
        </w:rPr>
        <w:t>第五十八条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依照《中华人民共和国水污染防治法》的规定，排水户需要取得排污许可证的，由环境保护主管部门核发；违反《中华人民共和国水污染防治法》的规定排放污水的，由环境保护主管部门处罚。</w:t>
      </w:r>
      <w:r>
        <w:rPr>
          <w:rFonts w:hint="eastAsia" w:ascii="仿宋_GB2312" w:hAnsi="å¾®è½¯é›…é»‘" w:eastAsia="仿宋_GB2312" w:cs="仿宋_GB2312"/>
          <w:i w:val="0"/>
          <w:caps w:val="0"/>
          <w:color w:val="333333"/>
          <w:spacing w:val="0"/>
          <w:kern w:val="2"/>
          <w:sz w:val="32"/>
          <w:szCs w:val="32"/>
          <w:shd w:val="clear" w:fill="FFFFFF"/>
          <w:lang w:val="en-US" w:eastAsia="zh-CN" w:bidi="ar"/>
        </w:rPr>
        <w:br w:type="textWrapping"/>
      </w:r>
      <w:r>
        <w:rPr>
          <w:rFonts w:hint="eastAsia" w:ascii="仿宋_GB2312" w:hAnsi="å¾®è½¯é›…é»‘" w:eastAsia="仿宋_GB2312" w:cs="仿宋_GB2312"/>
          <w:i w:val="0"/>
          <w:caps w:val="0"/>
          <w:color w:val="333333"/>
          <w:spacing w:val="0"/>
          <w:kern w:val="2"/>
          <w:sz w:val="32"/>
          <w:szCs w:val="32"/>
          <w:shd w:val="clear" w:fill="FFFFFF"/>
          <w:lang w:val="en-US" w:eastAsia="zh-CN" w:bidi="ar"/>
        </w:rPr>
        <w:t>    </w:t>
      </w:r>
      <w:r>
        <w:rPr>
          <w:rFonts w:hint="eastAsia" w:ascii="黑体" w:hAnsi="仿宋_GB2312" w:eastAsia="黑体" w:cs="黑体"/>
          <w:i w:val="0"/>
          <w:caps w:val="0"/>
          <w:color w:val="333333"/>
          <w:spacing w:val="0"/>
          <w:kern w:val="2"/>
          <w:sz w:val="32"/>
          <w:szCs w:val="32"/>
          <w:shd w:val="clear" w:fill="FFFFFF"/>
          <w:lang w:val="en-US" w:eastAsia="zh-CN" w:bidi="ar"/>
        </w:rPr>
        <w:t>第五十九条</w:t>
      </w:r>
      <w:r>
        <w:rPr>
          <w:rFonts w:hint="eastAsia" w:ascii="仿宋_GB2312" w:hAnsi="å¾®è½¯é›…é»‘" w:eastAsia="仿宋_GB2312" w:cs="仿宋_GB2312"/>
          <w:i w:val="0"/>
          <w:caps w:val="0"/>
          <w:color w:val="333333"/>
          <w:spacing w:val="0"/>
          <w:kern w:val="2"/>
          <w:sz w:val="32"/>
          <w:szCs w:val="32"/>
          <w:shd w:val="clear" w:fill="FFFFFF"/>
          <w:lang w:val="en-US" w:eastAsia="zh-CN" w:bidi="ar"/>
        </w:rPr>
        <w:t xml:space="preserve"> 本条例自2014年1月1日起施行。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å¾®è½¯é›…é»‘">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64A38"/>
    <w:rsid w:val="6FE6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year"/>
    <w:basedOn w:val="4"/>
    <w:uiPriority w:val="0"/>
    <w:rPr>
      <w:sz w:val="18"/>
      <w:szCs w:val="18"/>
    </w:rPr>
  </w:style>
  <w:style w:type="character" w:customStyle="1" w:styleId="8">
    <w:name w:val="time"/>
    <w:basedOn w:val="4"/>
    <w:uiPriority w:val="0"/>
    <w:rPr>
      <w:color w:val="88888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2022-11-25T09:43:00Z</dcterms:created>
  <dc:creator>Administrator</dc:creator>
  <cp:lastModifiedBy>Administrator</cp:lastModifiedBy>
  <dcterms:modified xsi:type="dcterms:W3CDTF">2022-11-25T09:44:01Z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