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after="240" w:afterAutospacing="0"/>
        <w:jc w:val="left"/>
      </w:pPr>
      <w:r>
        <w:rPr>
          <w:rFonts w:hint="eastAsia" w:ascii="宋体" w:hAnsi="宋体" w:eastAsia="宋体" w:cs="宋体"/>
          <w:b w:val="0"/>
          <w:i w:val="0"/>
          <w:caps w:val="0"/>
          <w:color w:val="000000"/>
          <w:spacing w:val="0"/>
          <w:kern w:val="0"/>
          <w:sz w:val="18"/>
          <w:szCs w:val="18"/>
          <w:u w:val="none"/>
          <w:bdr w:val="none" w:color="auto" w:sz="0" w:space="0"/>
          <w:shd w:val="clear" w:fill="FFFFFF"/>
          <w:lang w:val="en-US" w:eastAsia="zh-CN" w:bidi="ar"/>
        </w:rPr>
        <w:t>2003/12/11</w:t>
      </w:r>
      <w:r>
        <w:rPr>
          <w:rFonts w:hint="eastAsia" w:ascii="宋体" w:hAnsi="宋体" w:eastAsia="宋体" w:cs="宋体"/>
          <w:b w:val="0"/>
          <w:i w:val="0"/>
          <w:caps w:val="0"/>
          <w:color w:val="000000"/>
          <w:spacing w:val="0"/>
          <w:kern w:val="0"/>
          <w:sz w:val="18"/>
          <w:szCs w:val="18"/>
          <w:shd w:val="clear" w:fill="FFFFFF"/>
          <w:lang w:val="en-US" w:eastAsia="zh-CN" w:bidi="ar"/>
        </w:rPr>
        <w:t>  </w:t>
      </w:r>
      <w:r>
        <w:rPr>
          <w:rFonts w:hint="eastAsia" w:ascii="宋体" w:hAnsi="宋体" w:eastAsia="宋体" w:cs="宋体"/>
          <w:b w:val="0"/>
          <w:i w:val="0"/>
          <w:caps w:val="0"/>
          <w:color w:val="000000"/>
          <w:spacing w:val="0"/>
          <w:kern w:val="0"/>
          <w:sz w:val="18"/>
          <w:szCs w:val="18"/>
          <w:u w:val="none"/>
          <w:bdr w:val="none" w:color="auto" w:sz="0" w:space="0"/>
          <w:shd w:val="clear" w:fill="FFFFFF"/>
          <w:lang w:val="en-US" w:eastAsia="zh-CN" w:bidi="ar"/>
        </w:rPr>
        <w:t>发改价格[2003]2160号</w:t>
      </w:r>
      <w:r>
        <w:rPr>
          <w:rFonts w:hint="eastAsia" w:ascii="宋体" w:hAnsi="宋体" w:eastAsia="宋体" w:cs="宋体"/>
          <w:b w:val="0"/>
          <w:i w:val="0"/>
          <w:caps w:val="0"/>
          <w:color w:val="000000"/>
          <w:spacing w:val="0"/>
          <w:kern w:val="0"/>
          <w:sz w:val="18"/>
          <w:szCs w:val="18"/>
          <w:shd w:val="clear" w:fill="FFFFFF"/>
          <w:lang w:val="en-US" w:eastAsia="zh-CN" w:bidi="ar"/>
        </w:rPr>
        <w:t>  </w:t>
      </w:r>
      <w:r>
        <w:rPr>
          <w:rFonts w:hint="eastAsia" w:ascii="宋体" w:hAnsi="宋体" w:eastAsia="宋体" w:cs="宋体"/>
          <w:b w:val="0"/>
          <w:i w:val="0"/>
          <w:caps w:val="0"/>
          <w:color w:val="000000"/>
          <w:spacing w:val="0"/>
          <w:kern w:val="0"/>
          <w:sz w:val="18"/>
          <w:szCs w:val="18"/>
          <w:u w:val="none"/>
          <w:bdr w:val="none" w:color="auto" w:sz="0" w:space="0"/>
          <w:shd w:val="clear" w:fill="FFFFFF"/>
          <w:lang w:val="en-US" w:eastAsia="zh-CN" w:bidi="ar"/>
        </w:rPr>
        <w:t>财政部/国家发展和改革委员会(含原国家发展计划委员会、原国家计划委员会)</w:t>
      </w:r>
      <w:r>
        <w:rPr>
          <w:rFonts w:hint="eastAsia" w:ascii="宋体" w:hAnsi="宋体" w:eastAsia="宋体" w:cs="宋体"/>
          <w:b w:val="0"/>
          <w:i w:val="0"/>
          <w:caps w:val="0"/>
          <w:color w:val="000000"/>
          <w:spacing w:val="0"/>
          <w:kern w:val="0"/>
          <w:sz w:val="18"/>
          <w:szCs w:val="18"/>
          <w:shd w:val="clear" w:fill="FFFFFF"/>
          <w:lang w:val="en-US" w:eastAsia="zh-CN" w:bidi="ar"/>
        </w:rPr>
        <w:t>  </w:t>
      </w:r>
    </w:p>
    <w:tbl>
      <w:tblPr>
        <w:tblW w:w="16200" w:type="dxa"/>
        <w:tblCellSpacing w:w="0" w:type="dxa"/>
        <w:tblInd w:w="0" w:type="dxa"/>
        <w:shd w:val="clear" w:color="auto" w:fill="FFFFFF"/>
        <w:tblLayout w:type="autofit"/>
        <w:tblCellMar>
          <w:top w:w="0" w:type="dxa"/>
          <w:left w:w="0" w:type="dxa"/>
          <w:bottom w:w="0" w:type="dxa"/>
          <w:right w:w="0" w:type="dxa"/>
        </w:tblCellMar>
      </w:tblPr>
      <w:tblGrid>
        <w:gridCol w:w="16200"/>
      </w:tblGrid>
      <w:tr>
        <w:tblPrEx>
          <w:shd w:val="clear" w:color="auto" w:fill="FFFFFF"/>
          <w:tblCellMar>
            <w:top w:w="0" w:type="dxa"/>
            <w:left w:w="0" w:type="dxa"/>
            <w:bottom w:w="0" w:type="dxa"/>
            <w:right w:w="0" w:type="dxa"/>
          </w:tblCellMar>
        </w:tblPrEx>
        <w:trPr>
          <w:tblCellSpacing w:w="0" w:type="dxa"/>
        </w:trPr>
        <w:tc>
          <w:tcPr>
            <w:tcW w:w="0" w:type="auto"/>
            <w:shd w:val="clear" w:color="auto" w:fill="FFFFFF"/>
            <w:vAlign w:val="center"/>
          </w:tcPr>
          <w:p>
            <w:pPr>
              <w:rPr>
                <w:rFonts w:hint="eastAsia" w:ascii="宋体" w:hAnsi="宋体" w:eastAsia="宋体" w:cs="宋体"/>
                <w:caps w:val="0"/>
                <w:color w:val="000000"/>
                <w:spacing w:val="0"/>
                <w:sz w:val="18"/>
                <w:szCs w:val="18"/>
                <w:u w:val="none"/>
              </w:rPr>
            </w:pPr>
          </w:p>
        </w:tc>
      </w:tr>
    </w:tbl>
    <w:p>
      <w:pPr>
        <w:rPr>
          <w:vanish/>
          <w:sz w:val="24"/>
          <w:szCs w:val="24"/>
        </w:rPr>
      </w:pPr>
    </w:p>
    <w:tbl>
      <w:tblPr>
        <w:tblW w:w="16200" w:type="dxa"/>
        <w:jc w:val="center"/>
        <w:tblCellSpacing w:w="0" w:type="dxa"/>
        <w:shd w:val="clear" w:color="auto" w:fill="FFFFFF"/>
        <w:tblLayout w:type="autofit"/>
        <w:tblCellMar>
          <w:top w:w="0" w:type="dxa"/>
          <w:left w:w="0" w:type="dxa"/>
          <w:bottom w:w="0" w:type="dxa"/>
          <w:right w:w="0" w:type="dxa"/>
        </w:tblCellMar>
      </w:tblPr>
      <w:tblGrid>
        <w:gridCol w:w="16200"/>
      </w:tblGrid>
      <w:tr>
        <w:tblPrEx>
          <w:shd w:val="clear" w:color="auto" w:fill="FFFFFF"/>
          <w:tblCellMar>
            <w:top w:w="0" w:type="dxa"/>
            <w:left w:w="0" w:type="dxa"/>
            <w:bottom w:w="0" w:type="dxa"/>
            <w:right w:w="0" w:type="dxa"/>
          </w:tblCellMar>
        </w:tblPrEx>
        <w:trPr>
          <w:tblCellSpacing w:w="0" w:type="dxa"/>
          <w:jc w:val="center"/>
        </w:trPr>
        <w:tc>
          <w:tcPr>
            <w:tcW w:w="0" w:type="auto"/>
            <w:shd w:val="clear" w:color="auto" w:fill="FFFFFF"/>
            <w:vAlign w:val="center"/>
          </w:tcPr>
          <w:p>
            <w:pPr>
              <w:jc w:val="center"/>
              <w:rPr>
                <w:rFonts w:hint="eastAsia" w:ascii="宋体" w:hAnsi="宋体" w:eastAsia="宋体" w:cs="宋体"/>
                <w:caps w:val="0"/>
                <w:color w:val="000000"/>
                <w:spacing w:val="0"/>
                <w:sz w:val="18"/>
                <w:szCs w:val="18"/>
                <w:u w:val="none"/>
              </w:rPr>
            </w:pPr>
          </w:p>
        </w:tc>
      </w:tr>
      <w:tr>
        <w:tblPrEx>
          <w:shd w:val="clear" w:color="auto" w:fill="FFFFFF"/>
          <w:tblCellMar>
            <w:top w:w="0" w:type="dxa"/>
            <w:left w:w="0" w:type="dxa"/>
            <w:bottom w:w="0" w:type="dxa"/>
            <w:right w:w="0" w:type="dxa"/>
          </w:tblCellMar>
        </w:tblPrEx>
        <w:trPr>
          <w:trHeight w:val="1471" w:hRule="atLeast"/>
          <w:tblCellSpacing w:w="0" w:type="dxa"/>
          <w:jc w:val="center"/>
        </w:trPr>
        <w:tc>
          <w:tcPr>
            <w:tcW w:w="0" w:type="auto"/>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left"/>
            </w:pPr>
            <w:r>
              <w:rPr>
                <w:caps w:val="0"/>
                <w:color w:val="000000"/>
                <w:spacing w:val="0"/>
                <w:u w:val="none"/>
                <w:bdr w:val="none" w:color="auto" w:sz="0" w:space="0"/>
              </w:rPr>
              <w:t>国家发展改革委、财政部关于普通话水平测试费和国家普通话水平等级证书工本费收费标准的通知</w:t>
            </w:r>
          </w:p>
          <w:tbl>
            <w:tblPr>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62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trPr>
              <w:tc>
                <w:tcPr>
                  <w:tcW w:w="0" w:type="auto"/>
                  <w:shd w:val="clear"/>
                  <w:vAlign w:val="center"/>
                </w:tcPr>
                <w:p>
                  <w:pPr>
                    <w:keepNext w:val="0"/>
                    <w:keepLines w:val="0"/>
                    <w:widowControl/>
                    <w:suppressLineNumbers w:val="0"/>
                    <w:spacing w:before="0" w:beforeAutospacing="0" w:after="0" w:afterAutospacing="0" w:line="270" w:lineRule="atLeast"/>
                    <w:ind w:left="0" w:right="0"/>
                    <w:jc w:val="left"/>
                    <w:rPr>
                      <w:color w:val="000000"/>
                      <w:sz w:val="18"/>
                      <w:szCs w:val="18"/>
                      <w:u w:val="none"/>
                    </w:rPr>
                  </w:pPr>
                  <w:r>
                    <w:rPr>
                      <w:rFonts w:ascii="宋体" w:hAnsi="宋体" w:eastAsia="宋体" w:cs="宋体"/>
                      <w:color w:val="000000"/>
                      <w:kern w:val="0"/>
                      <w:sz w:val="18"/>
                      <w:szCs w:val="18"/>
                      <w:u w:val="none"/>
                      <w:bdr w:val="none" w:color="auto" w:sz="0" w:space="0"/>
                      <w:lang w:val="en-US" w:eastAsia="zh-CN" w:bidi="ar"/>
                    </w:rPr>
                    <w:br w:type="textWrapping"/>
                  </w:r>
                  <w:r>
                    <w:rPr>
                      <w:rFonts w:ascii="宋体" w:hAnsi="宋体" w:eastAsia="宋体" w:cs="宋体"/>
                      <w:color w:val="000000"/>
                      <w:kern w:val="0"/>
                      <w:sz w:val="18"/>
                      <w:szCs w:val="18"/>
                      <w:u w:val="none"/>
                      <w:bdr w:val="none" w:color="auto" w:sz="0" w:space="0"/>
                      <w:lang w:val="en-US" w:eastAsia="zh-CN" w:bidi="ar"/>
                    </w:rPr>
                    <w:t>　　教育部，各省、自治区、直辖市计委、物价局、财政厅（局）：</w:t>
                  </w:r>
                  <w:r>
                    <w:rPr>
                      <w:rFonts w:ascii="宋体" w:hAnsi="宋体" w:eastAsia="宋体" w:cs="宋体"/>
                      <w:color w:val="000000"/>
                      <w:kern w:val="0"/>
                      <w:sz w:val="18"/>
                      <w:szCs w:val="18"/>
                      <w:u w:val="none"/>
                      <w:bdr w:val="none" w:color="auto" w:sz="0" w:space="0"/>
                      <w:lang w:val="en-US" w:eastAsia="zh-CN" w:bidi="ar"/>
                    </w:rPr>
                    <w:br w:type="textWrapping"/>
                  </w:r>
                  <w:r>
                    <w:rPr>
                      <w:rFonts w:ascii="宋体" w:hAnsi="宋体" w:eastAsia="宋体" w:cs="宋体"/>
                      <w:color w:val="000000"/>
                      <w:kern w:val="0"/>
                      <w:sz w:val="18"/>
                      <w:szCs w:val="18"/>
                      <w:u w:val="none"/>
                      <w:bdr w:val="none" w:color="auto" w:sz="0" w:space="0"/>
                      <w:lang w:val="en-US" w:eastAsia="zh-CN" w:bidi="ar"/>
                    </w:rPr>
                    <w:t>　　</w:t>
                  </w:r>
                  <w:r>
                    <w:rPr>
                      <w:rFonts w:ascii="宋体" w:hAnsi="宋体" w:eastAsia="宋体" w:cs="宋体"/>
                      <w:color w:val="000000"/>
                      <w:kern w:val="0"/>
                      <w:sz w:val="18"/>
                      <w:szCs w:val="18"/>
                      <w:u w:val="none"/>
                      <w:bdr w:val="none" w:color="auto" w:sz="0" w:space="0"/>
                      <w:lang w:val="en-US" w:eastAsia="zh-CN" w:bidi="ar"/>
                    </w:rPr>
                    <w:br w:type="textWrapping"/>
                  </w:r>
                  <w:r>
                    <w:rPr>
                      <w:rFonts w:ascii="宋体" w:hAnsi="宋体" w:eastAsia="宋体" w:cs="宋体"/>
                      <w:color w:val="000000"/>
                      <w:kern w:val="0"/>
                      <w:sz w:val="18"/>
                      <w:szCs w:val="18"/>
                      <w:u w:val="none"/>
                      <w:bdr w:val="none" w:color="auto" w:sz="0" w:space="0"/>
                      <w:lang w:val="en-US" w:eastAsia="zh-CN" w:bidi="ar"/>
                    </w:rPr>
                    <w:t>　　根据财政部、国家发展改革委《关于同意收取普通话水平测试费和国家普通话水平等级证书工本费的复函》（财综［2003］53号）规定，现将普通话水平测试费和国家普通话水平等级证书工本费的收费标准及有关问题通知如下：</w:t>
                  </w:r>
                  <w:r>
                    <w:rPr>
                      <w:rFonts w:ascii="宋体" w:hAnsi="宋体" w:eastAsia="宋体" w:cs="宋体"/>
                      <w:color w:val="000000"/>
                      <w:kern w:val="0"/>
                      <w:sz w:val="18"/>
                      <w:szCs w:val="18"/>
                      <w:u w:val="none"/>
                      <w:bdr w:val="none" w:color="auto" w:sz="0" w:space="0"/>
                      <w:lang w:val="en-US" w:eastAsia="zh-CN" w:bidi="ar"/>
                    </w:rPr>
                    <w:br w:type="textWrapping"/>
                  </w:r>
                  <w:r>
                    <w:rPr>
                      <w:rFonts w:ascii="宋体" w:hAnsi="宋体" w:eastAsia="宋体" w:cs="宋体"/>
                      <w:color w:val="000000"/>
                      <w:kern w:val="0"/>
                      <w:sz w:val="18"/>
                      <w:szCs w:val="18"/>
                      <w:u w:val="none"/>
                      <w:bdr w:val="none" w:color="auto" w:sz="0" w:space="0"/>
                      <w:lang w:val="en-US" w:eastAsia="zh-CN" w:bidi="ar"/>
                    </w:rPr>
                    <w:t>　　</w:t>
                  </w:r>
                  <w:r>
                    <w:rPr>
                      <w:rFonts w:ascii="宋体" w:hAnsi="宋体" w:eastAsia="宋体" w:cs="宋体"/>
                      <w:color w:val="000000"/>
                      <w:kern w:val="0"/>
                      <w:sz w:val="18"/>
                      <w:szCs w:val="18"/>
                      <w:u w:val="none"/>
                      <w:bdr w:val="none" w:color="auto" w:sz="0" w:space="0"/>
                      <w:lang w:val="en-US" w:eastAsia="zh-CN" w:bidi="ar"/>
                    </w:rPr>
                    <w:br w:type="textWrapping"/>
                  </w:r>
                  <w:r>
                    <w:rPr>
                      <w:rFonts w:ascii="宋体" w:hAnsi="宋体" w:eastAsia="宋体" w:cs="宋体"/>
                      <w:color w:val="000000"/>
                      <w:kern w:val="0"/>
                      <w:sz w:val="18"/>
                      <w:szCs w:val="18"/>
                      <w:u w:val="none"/>
                      <w:bdr w:val="none" w:color="auto" w:sz="0" w:space="0"/>
                      <w:lang w:val="en-US" w:eastAsia="zh-CN" w:bidi="ar"/>
                    </w:rPr>
                    <w:t>　　一、各级普通话水平测试实施机构向参加普通话水平测试人员收取普通话水平测试费收费标准为每人次不超过50元，具体标准由普通话水平测试实施机构所在地省、自治区、直辖市价格、财政部门根据开展普通话水平测试的费用支出情况，综合考虑当地经济发展水平和人民群众的承受能力等因素制定。在校学生参加普通话水平测试减半收取测试费，贫困学生参加普通话水平测试免收测试费。</w:t>
                  </w:r>
                  <w:r>
                    <w:rPr>
                      <w:rFonts w:ascii="宋体" w:hAnsi="宋体" w:eastAsia="宋体" w:cs="宋体"/>
                      <w:color w:val="000000"/>
                      <w:kern w:val="0"/>
                      <w:sz w:val="18"/>
                      <w:szCs w:val="18"/>
                      <w:u w:val="none"/>
                      <w:bdr w:val="none" w:color="auto" w:sz="0" w:space="0"/>
                      <w:lang w:val="en-US" w:eastAsia="zh-CN" w:bidi="ar"/>
                    </w:rPr>
                    <w:br w:type="textWrapping"/>
                  </w:r>
                  <w:r>
                    <w:rPr>
                      <w:rFonts w:ascii="宋体" w:hAnsi="宋体" w:eastAsia="宋体" w:cs="宋体"/>
                      <w:color w:val="000000"/>
                      <w:kern w:val="0"/>
                      <w:sz w:val="18"/>
                      <w:szCs w:val="18"/>
                      <w:u w:val="none"/>
                      <w:bdr w:val="none" w:color="auto" w:sz="0" w:space="0"/>
                      <w:lang w:val="en-US" w:eastAsia="zh-CN" w:bidi="ar"/>
                    </w:rPr>
                    <w:t>　　</w:t>
                  </w:r>
                  <w:r>
                    <w:rPr>
                      <w:rFonts w:ascii="宋体" w:hAnsi="宋体" w:eastAsia="宋体" w:cs="宋体"/>
                      <w:color w:val="000000"/>
                      <w:kern w:val="0"/>
                      <w:sz w:val="18"/>
                      <w:szCs w:val="18"/>
                      <w:u w:val="none"/>
                      <w:bdr w:val="none" w:color="auto" w:sz="0" w:space="0"/>
                      <w:lang w:val="en-US" w:eastAsia="zh-CN" w:bidi="ar"/>
                    </w:rPr>
                    <w:br w:type="textWrapping"/>
                  </w:r>
                  <w:r>
                    <w:rPr>
                      <w:rFonts w:ascii="宋体" w:hAnsi="宋体" w:eastAsia="宋体" w:cs="宋体"/>
                      <w:color w:val="000000"/>
                      <w:kern w:val="0"/>
                      <w:sz w:val="18"/>
                      <w:szCs w:val="18"/>
                      <w:u w:val="none"/>
                      <w:bdr w:val="none" w:color="auto" w:sz="0" w:space="0"/>
                      <w:lang w:val="en-US" w:eastAsia="zh-CN" w:bidi="ar"/>
                    </w:rPr>
                    <w:t>　　二、各级普通话水平测试实施机构向测试合格人员颁发教育部统一印制的国家普通话水平等级证书时，收取证书工本费的收费标准为每本5元。</w:t>
                  </w:r>
                  <w:r>
                    <w:rPr>
                      <w:rFonts w:ascii="宋体" w:hAnsi="宋体" w:eastAsia="宋体" w:cs="宋体"/>
                      <w:color w:val="000000"/>
                      <w:kern w:val="0"/>
                      <w:sz w:val="18"/>
                      <w:szCs w:val="18"/>
                      <w:u w:val="none"/>
                      <w:bdr w:val="none" w:color="auto" w:sz="0" w:space="0"/>
                      <w:lang w:val="en-US" w:eastAsia="zh-CN" w:bidi="ar"/>
                    </w:rPr>
                    <w:br w:type="textWrapping"/>
                  </w:r>
                  <w:r>
                    <w:rPr>
                      <w:rFonts w:ascii="宋体" w:hAnsi="宋体" w:eastAsia="宋体" w:cs="宋体"/>
                      <w:color w:val="000000"/>
                      <w:kern w:val="0"/>
                      <w:sz w:val="18"/>
                      <w:szCs w:val="18"/>
                      <w:u w:val="none"/>
                      <w:bdr w:val="none" w:color="auto" w:sz="0" w:space="0"/>
                      <w:lang w:val="en-US" w:eastAsia="zh-CN" w:bidi="ar"/>
                    </w:rPr>
                    <w:t>　　</w:t>
                  </w:r>
                  <w:bookmarkStart w:id="0" w:name="_GoBack"/>
                  <w:bookmarkEnd w:id="0"/>
                  <w:r>
                    <w:rPr>
                      <w:rFonts w:ascii="宋体" w:hAnsi="宋体" w:eastAsia="宋体" w:cs="宋体"/>
                      <w:color w:val="000000"/>
                      <w:kern w:val="0"/>
                      <w:sz w:val="18"/>
                      <w:szCs w:val="18"/>
                      <w:u w:val="none"/>
                      <w:bdr w:val="none" w:color="auto" w:sz="0" w:space="0"/>
                      <w:lang w:val="en-US" w:eastAsia="zh-CN" w:bidi="ar"/>
                    </w:rPr>
                    <w:br w:type="textWrapping"/>
                  </w:r>
                  <w:r>
                    <w:rPr>
                      <w:rFonts w:ascii="宋体" w:hAnsi="宋体" w:eastAsia="宋体" w:cs="宋体"/>
                      <w:color w:val="000000"/>
                      <w:kern w:val="0"/>
                      <w:sz w:val="18"/>
                      <w:szCs w:val="18"/>
                      <w:u w:val="none"/>
                      <w:bdr w:val="none" w:color="auto" w:sz="0" w:space="0"/>
                      <w:lang w:val="en-US" w:eastAsia="zh-CN" w:bidi="ar"/>
                    </w:rPr>
                    <w:t>　　三、收费单位应到指定的价格主管部门办理收费许可证，并按财务隶属关系分别使用省级财政部门和财政部统一印制的行政事业性收费票据。</w:t>
                  </w:r>
                  <w:r>
                    <w:rPr>
                      <w:rFonts w:ascii="宋体" w:hAnsi="宋体" w:eastAsia="宋体" w:cs="宋体"/>
                      <w:color w:val="000000"/>
                      <w:kern w:val="0"/>
                      <w:sz w:val="18"/>
                      <w:szCs w:val="18"/>
                      <w:u w:val="none"/>
                      <w:bdr w:val="none" w:color="auto" w:sz="0" w:space="0"/>
                      <w:lang w:val="en-US" w:eastAsia="zh-CN" w:bidi="ar"/>
                    </w:rPr>
                    <w:br w:type="textWrapping"/>
                  </w:r>
                  <w:r>
                    <w:rPr>
                      <w:rFonts w:ascii="宋体" w:hAnsi="宋体" w:eastAsia="宋体" w:cs="宋体"/>
                      <w:color w:val="000000"/>
                      <w:kern w:val="0"/>
                      <w:sz w:val="18"/>
                      <w:szCs w:val="18"/>
                      <w:u w:val="none"/>
                      <w:bdr w:val="none" w:color="auto" w:sz="0" w:space="0"/>
                      <w:lang w:val="en-US" w:eastAsia="zh-CN" w:bidi="ar"/>
                    </w:rPr>
                    <w:t>　　</w:t>
                  </w:r>
                  <w:r>
                    <w:rPr>
                      <w:rFonts w:ascii="宋体" w:hAnsi="宋体" w:eastAsia="宋体" w:cs="宋体"/>
                      <w:color w:val="000000"/>
                      <w:kern w:val="0"/>
                      <w:sz w:val="18"/>
                      <w:szCs w:val="18"/>
                      <w:u w:val="none"/>
                      <w:bdr w:val="none" w:color="auto" w:sz="0" w:space="0"/>
                      <w:lang w:val="en-US" w:eastAsia="zh-CN" w:bidi="ar"/>
                    </w:rPr>
                    <w:br w:type="textWrapping"/>
                  </w:r>
                  <w:r>
                    <w:rPr>
                      <w:rFonts w:ascii="宋体" w:hAnsi="宋体" w:eastAsia="宋体" w:cs="宋体"/>
                      <w:color w:val="000000"/>
                      <w:kern w:val="0"/>
                      <w:sz w:val="18"/>
                      <w:szCs w:val="18"/>
                      <w:u w:val="none"/>
                      <w:bdr w:val="none" w:color="auto" w:sz="0" w:space="0"/>
                      <w:lang w:val="en-US" w:eastAsia="zh-CN" w:bidi="ar"/>
                    </w:rPr>
                    <w:t>　　四、收费单位要严格执行规定的收费项目、收费范围和收费标准，并自觉接受价格、财政、审计部门的监督检查。</w:t>
                  </w:r>
                  <w:r>
                    <w:rPr>
                      <w:rFonts w:ascii="宋体" w:hAnsi="宋体" w:eastAsia="宋体" w:cs="宋体"/>
                      <w:color w:val="000000"/>
                      <w:kern w:val="0"/>
                      <w:sz w:val="18"/>
                      <w:szCs w:val="18"/>
                      <w:u w:val="none"/>
                      <w:bdr w:val="none" w:color="auto" w:sz="0" w:space="0"/>
                      <w:lang w:val="en-US" w:eastAsia="zh-CN" w:bidi="ar"/>
                    </w:rPr>
                    <w:br w:type="textWrapping"/>
                  </w:r>
                  <w:r>
                    <w:rPr>
                      <w:rFonts w:ascii="宋体" w:hAnsi="宋体" w:eastAsia="宋体" w:cs="宋体"/>
                      <w:color w:val="000000"/>
                      <w:kern w:val="0"/>
                      <w:sz w:val="18"/>
                      <w:szCs w:val="18"/>
                      <w:u w:val="none"/>
                      <w:bdr w:val="none" w:color="auto" w:sz="0" w:space="0"/>
                      <w:lang w:val="en-US" w:eastAsia="zh-CN" w:bidi="ar"/>
                    </w:rPr>
                    <w:t>　　</w:t>
                  </w:r>
                  <w:r>
                    <w:rPr>
                      <w:rFonts w:ascii="宋体" w:hAnsi="宋体" w:eastAsia="宋体" w:cs="宋体"/>
                      <w:color w:val="000000"/>
                      <w:kern w:val="0"/>
                      <w:sz w:val="18"/>
                      <w:szCs w:val="18"/>
                      <w:u w:val="none"/>
                      <w:bdr w:val="none" w:color="auto" w:sz="0" w:space="0"/>
                      <w:lang w:val="en-US" w:eastAsia="zh-CN" w:bidi="ar"/>
                    </w:rPr>
                    <w:br w:type="textWrapping"/>
                  </w:r>
                  <w:r>
                    <w:rPr>
                      <w:rFonts w:ascii="宋体" w:hAnsi="宋体" w:eastAsia="宋体" w:cs="宋体"/>
                      <w:color w:val="000000"/>
                      <w:kern w:val="0"/>
                      <w:sz w:val="18"/>
                      <w:szCs w:val="18"/>
                      <w:u w:val="none"/>
                      <w:bdr w:val="none" w:color="auto" w:sz="0" w:space="0"/>
                      <w:lang w:val="en-US" w:eastAsia="zh-CN" w:bidi="ar"/>
                    </w:rPr>
                    <w:t>　　五、本文自2004年1月1日起执行。</w:t>
                  </w:r>
                </w:p>
              </w:tc>
            </w:tr>
          </w:tbl>
          <w:p>
            <w:pPr>
              <w:jc w:val="left"/>
              <w:rPr>
                <w:rFonts w:hint="eastAsia" w:ascii="宋体" w:hAnsi="宋体" w:eastAsia="宋体" w:cs="宋体"/>
                <w:caps w:val="0"/>
                <w:color w:val="000000"/>
                <w:spacing w:val="0"/>
                <w:sz w:val="18"/>
                <w:szCs w:val="18"/>
                <w:u w:val="none"/>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swiss"/>
    <w:pitch w:val="default"/>
    <w:sig w:usb0="00000000" w:usb1="00000000" w:usb2="00000001" w:usb3="00000000" w:csb0="0000019F" w:csb1="00000000"/>
  </w:font>
  <w:font w:name="Lucida Sans">
    <w:panose1 w:val="020B0602030504020204"/>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77231D"/>
    <w:rsid w:val="117723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2022-11-25T08:02:00Z</dcterms:created>
  <dc:creator>Administrator</dc:creator>
  <cp:lastModifiedBy>Administrator</cp:lastModifiedBy>
  <dcterms:modified xsi:type="dcterms:W3CDTF">2022-11-25T08:03:20Z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