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D65AD">
      <w:pPr>
        <w:spacing w:line="580" w:lineRule="exact"/>
        <w:jc w:val="left"/>
        <w:rPr>
          <w:rFonts w:ascii="Times New Roman" w:hAnsi="Times New Roman" w:eastAsia="方正黑体简体"/>
          <w:b/>
          <w:sz w:val="32"/>
          <w:szCs w:val="32"/>
        </w:rPr>
      </w:pPr>
      <w:r>
        <w:rPr>
          <w:rFonts w:ascii="Times New Roman" w:hAnsi="Times New Roman" w:eastAsia="方正黑体简体"/>
          <w:b/>
          <w:sz w:val="32"/>
          <w:szCs w:val="32"/>
        </w:rPr>
        <w:t>附件3</w:t>
      </w:r>
    </w:p>
    <w:p w14:paraId="0B3EDD05">
      <w:pPr>
        <w:spacing w:line="580" w:lineRule="exact"/>
        <w:jc w:val="center"/>
        <w:rPr>
          <w:rFonts w:hint="eastAsia" w:ascii="方正小标宋简体" w:hAnsi="Times New Roman" w:eastAsia="方正小标宋简体" w:cs="仿宋"/>
          <w:b/>
          <w:sz w:val="40"/>
          <w:szCs w:val="32"/>
        </w:rPr>
      </w:pPr>
      <w:r>
        <w:rPr>
          <w:rFonts w:hint="eastAsia" w:ascii="方正小标宋简体" w:hAnsi="微软雅黑" w:eastAsia="方正小标宋简体" w:cs="宋体"/>
          <w:b/>
          <w:bCs/>
          <w:kern w:val="0"/>
          <w:sz w:val="44"/>
          <w:szCs w:val="36"/>
        </w:rPr>
        <w:t>曲阜市市级政府定价的经营服务性收费项目目录</w:t>
      </w:r>
    </w:p>
    <w:p w14:paraId="74BE13F6"/>
    <w:tbl>
      <w:tblPr>
        <w:tblStyle w:val="5"/>
        <w:tblW w:w="14796" w:type="dxa"/>
        <w:tblInd w:w="-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"/>
        <w:gridCol w:w="595"/>
        <w:gridCol w:w="1050"/>
        <w:gridCol w:w="646"/>
        <w:gridCol w:w="1092"/>
        <w:gridCol w:w="1526"/>
        <w:gridCol w:w="1539"/>
        <w:gridCol w:w="924"/>
        <w:gridCol w:w="2346"/>
        <w:gridCol w:w="884"/>
        <w:gridCol w:w="881"/>
        <w:gridCol w:w="503"/>
        <w:gridCol w:w="499"/>
        <w:gridCol w:w="500"/>
        <w:gridCol w:w="616"/>
        <w:gridCol w:w="896"/>
      </w:tblGrid>
      <w:tr w14:paraId="1463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tblHeader/>
        </w:trPr>
        <w:tc>
          <w:tcPr>
            <w:tcW w:w="299" w:type="dxa"/>
            <w:noWrap w:val="0"/>
            <w:vAlign w:val="center"/>
          </w:tcPr>
          <w:p w14:paraId="4A628468">
            <w:pPr>
              <w:widowControl/>
              <w:spacing w:line="240" w:lineRule="exact"/>
              <w:jc w:val="center"/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595" w:type="dxa"/>
            <w:noWrap w:val="0"/>
            <w:vAlign w:val="center"/>
          </w:tcPr>
          <w:p w14:paraId="6A18B997">
            <w:pPr>
              <w:widowControl/>
              <w:spacing w:line="240" w:lineRule="exact"/>
              <w:jc w:val="center"/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  <w:t>一级项目</w:t>
            </w:r>
          </w:p>
        </w:tc>
        <w:tc>
          <w:tcPr>
            <w:tcW w:w="1050" w:type="dxa"/>
            <w:noWrap w:val="0"/>
            <w:vAlign w:val="center"/>
          </w:tcPr>
          <w:p w14:paraId="3D92D2C2">
            <w:pPr>
              <w:widowControl/>
              <w:spacing w:line="240" w:lineRule="exact"/>
              <w:jc w:val="center"/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  <w:t>二级项目</w:t>
            </w:r>
          </w:p>
        </w:tc>
        <w:tc>
          <w:tcPr>
            <w:tcW w:w="5727" w:type="dxa"/>
            <w:gridSpan w:val="5"/>
            <w:noWrap w:val="0"/>
            <w:vAlign w:val="center"/>
          </w:tcPr>
          <w:p w14:paraId="30A216A4">
            <w:pPr>
              <w:widowControl/>
              <w:spacing w:line="240" w:lineRule="exact"/>
              <w:jc w:val="center"/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  <w:t>收费标准</w:t>
            </w:r>
          </w:p>
        </w:tc>
        <w:tc>
          <w:tcPr>
            <w:tcW w:w="2346" w:type="dxa"/>
            <w:noWrap w:val="0"/>
            <w:vAlign w:val="center"/>
          </w:tcPr>
          <w:p w14:paraId="4A4D52B8">
            <w:pPr>
              <w:widowControl/>
              <w:spacing w:line="240" w:lineRule="exact"/>
              <w:jc w:val="center"/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  <w:t>收费文件</w:t>
            </w:r>
          </w:p>
        </w:tc>
        <w:tc>
          <w:tcPr>
            <w:tcW w:w="884" w:type="dxa"/>
            <w:noWrap w:val="0"/>
            <w:vAlign w:val="center"/>
          </w:tcPr>
          <w:p w14:paraId="742FD1C2">
            <w:pPr>
              <w:widowControl/>
              <w:spacing w:line="240" w:lineRule="exact"/>
              <w:jc w:val="center"/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  <w:t>定价部门</w:t>
            </w:r>
          </w:p>
        </w:tc>
        <w:tc>
          <w:tcPr>
            <w:tcW w:w="881" w:type="dxa"/>
            <w:noWrap w:val="0"/>
            <w:vAlign w:val="center"/>
          </w:tcPr>
          <w:p w14:paraId="36BB2E10">
            <w:pPr>
              <w:widowControl/>
              <w:spacing w:line="240" w:lineRule="exact"/>
              <w:jc w:val="center"/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  <w:t>行业主</w:t>
            </w:r>
          </w:p>
          <w:p w14:paraId="53A4C2FC">
            <w:pPr>
              <w:widowControl/>
              <w:spacing w:line="240" w:lineRule="exact"/>
              <w:jc w:val="center"/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  <w:t>管部门</w:t>
            </w:r>
          </w:p>
        </w:tc>
        <w:tc>
          <w:tcPr>
            <w:tcW w:w="503" w:type="dxa"/>
            <w:noWrap w:val="0"/>
            <w:vAlign w:val="center"/>
          </w:tcPr>
          <w:p w14:paraId="5A2186E1">
            <w:pPr>
              <w:widowControl/>
              <w:spacing w:line="240" w:lineRule="exact"/>
              <w:jc w:val="center"/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  <w:t>是否涉企</w:t>
            </w:r>
          </w:p>
        </w:tc>
        <w:tc>
          <w:tcPr>
            <w:tcW w:w="499" w:type="dxa"/>
            <w:noWrap w:val="0"/>
            <w:vAlign w:val="center"/>
          </w:tcPr>
          <w:p w14:paraId="3388683B">
            <w:pPr>
              <w:widowControl/>
              <w:spacing w:line="240" w:lineRule="exact"/>
              <w:jc w:val="center"/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  <w:t>是否行政审批</w:t>
            </w:r>
          </w:p>
        </w:tc>
        <w:tc>
          <w:tcPr>
            <w:tcW w:w="500" w:type="dxa"/>
            <w:noWrap w:val="0"/>
            <w:vAlign w:val="center"/>
          </w:tcPr>
          <w:p w14:paraId="5E2B3A6D">
            <w:pPr>
              <w:widowControl/>
              <w:spacing w:line="240" w:lineRule="exact"/>
              <w:jc w:val="center"/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  <w:t>是否涉进出口</w:t>
            </w:r>
          </w:p>
        </w:tc>
        <w:tc>
          <w:tcPr>
            <w:tcW w:w="616" w:type="dxa"/>
            <w:noWrap w:val="0"/>
            <w:vAlign w:val="center"/>
          </w:tcPr>
          <w:p w14:paraId="070056C5">
            <w:pPr>
              <w:widowControl/>
              <w:spacing w:line="240" w:lineRule="exact"/>
              <w:jc w:val="center"/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  <w:t>定价方法</w:t>
            </w:r>
          </w:p>
        </w:tc>
        <w:tc>
          <w:tcPr>
            <w:tcW w:w="896" w:type="dxa"/>
            <w:noWrap w:val="0"/>
            <w:vAlign w:val="center"/>
          </w:tcPr>
          <w:p w14:paraId="37606F10">
            <w:pPr>
              <w:widowControl/>
              <w:spacing w:line="240" w:lineRule="exact"/>
              <w:jc w:val="center"/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黑体简体" w:hAnsi="Times New Roman" w:eastAsia="方正黑体简体" w:cs="宋体"/>
                <w:b/>
                <w:bCs/>
                <w:kern w:val="0"/>
                <w:szCs w:val="21"/>
              </w:rPr>
              <w:t>备注</w:t>
            </w:r>
          </w:p>
        </w:tc>
      </w:tr>
      <w:tr w14:paraId="4B73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9" w:hRule="atLeast"/>
        </w:trPr>
        <w:tc>
          <w:tcPr>
            <w:tcW w:w="299" w:type="dxa"/>
            <w:vMerge w:val="restart"/>
            <w:noWrap w:val="0"/>
            <w:vAlign w:val="center"/>
          </w:tcPr>
          <w:p w14:paraId="5734715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交通服务收费</w:t>
            </w:r>
          </w:p>
        </w:tc>
        <w:tc>
          <w:tcPr>
            <w:tcW w:w="595" w:type="dxa"/>
            <w:vMerge w:val="restart"/>
            <w:noWrap w:val="0"/>
            <w:vAlign w:val="center"/>
          </w:tcPr>
          <w:p w14:paraId="2474B73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一、机动车停放服务收费</w:t>
            </w:r>
          </w:p>
        </w:tc>
        <w:tc>
          <w:tcPr>
            <w:tcW w:w="1050" w:type="dxa"/>
            <w:noWrap w:val="0"/>
            <w:vAlign w:val="center"/>
          </w:tcPr>
          <w:p w14:paraId="2CAED18D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（一）体育文化场馆、景区、医疗机构等配套停车场，交通场站停车场，对外开放的机关事业单位停车场，以及事故停车场等收费标准</w:t>
            </w:r>
          </w:p>
        </w:tc>
        <w:tc>
          <w:tcPr>
            <w:tcW w:w="5727" w:type="dxa"/>
            <w:gridSpan w:val="5"/>
            <w:noWrap w:val="0"/>
            <w:vAlign w:val="center"/>
          </w:tcPr>
          <w:p w14:paraId="77219A4B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1、景区：小型车辆2.5元/30分钟，中型车辆3元/30分钟，大型车辆3.5元/30分钟。上述收费标准为最高收费标准，连续停放实行累计收费，每天(24小时)小型车辆累计不超过30元、中型车辆累计不超过40元、大型车辆累计不超过50元。                                 2、高铁：每小时2元，每天累计不超过30元。连续停放10天以内按每天30元收取。超过10天最高按300元收取。</w:t>
            </w:r>
          </w:p>
        </w:tc>
        <w:tc>
          <w:tcPr>
            <w:tcW w:w="2346" w:type="dxa"/>
            <w:noWrap w:val="0"/>
            <w:vAlign w:val="center"/>
          </w:tcPr>
          <w:p w14:paraId="202CF984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《关于规范全市机动车停放服务收费管理有关问题的通知》（曲发改【2022】22号）</w:t>
            </w:r>
          </w:p>
          <w:p w14:paraId="3A960DAB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 xml:space="preserve">《关于旅游景区停车场停车服务收费标准的通知》（曲发改【2024】55号）             </w:t>
            </w:r>
          </w:p>
          <w:p w14:paraId="481B5F0B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 xml:space="preserve">《关于继续执行京沪高铁曲阜东站站前停车场收费标准的通知》（曲发改﹝2023﹞20号）  </w:t>
            </w:r>
          </w:p>
        </w:tc>
        <w:tc>
          <w:tcPr>
            <w:tcW w:w="884" w:type="dxa"/>
            <w:vMerge w:val="restart"/>
            <w:noWrap w:val="0"/>
            <w:vAlign w:val="center"/>
          </w:tcPr>
          <w:p w14:paraId="54A9D8A8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市政府价格主管部门</w:t>
            </w:r>
          </w:p>
        </w:tc>
        <w:tc>
          <w:tcPr>
            <w:tcW w:w="881" w:type="dxa"/>
            <w:vMerge w:val="restart"/>
            <w:noWrap w:val="0"/>
            <w:vAlign w:val="center"/>
          </w:tcPr>
          <w:p w14:paraId="4599494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住建部门</w:t>
            </w:r>
          </w:p>
        </w:tc>
        <w:tc>
          <w:tcPr>
            <w:tcW w:w="503" w:type="dxa"/>
            <w:noWrap w:val="0"/>
            <w:vAlign w:val="center"/>
          </w:tcPr>
          <w:p w14:paraId="2985E10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否</w:t>
            </w:r>
          </w:p>
        </w:tc>
        <w:tc>
          <w:tcPr>
            <w:tcW w:w="499" w:type="dxa"/>
            <w:noWrap w:val="0"/>
            <w:vAlign w:val="center"/>
          </w:tcPr>
          <w:p w14:paraId="4123C89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否</w:t>
            </w:r>
          </w:p>
        </w:tc>
        <w:tc>
          <w:tcPr>
            <w:tcW w:w="500" w:type="dxa"/>
            <w:noWrap w:val="0"/>
            <w:vAlign w:val="center"/>
          </w:tcPr>
          <w:p w14:paraId="739A707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否</w:t>
            </w:r>
          </w:p>
        </w:tc>
        <w:tc>
          <w:tcPr>
            <w:tcW w:w="616" w:type="dxa"/>
            <w:noWrap w:val="0"/>
            <w:vAlign w:val="center"/>
          </w:tcPr>
          <w:p w14:paraId="204230F1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政府</w:t>
            </w:r>
          </w:p>
          <w:p w14:paraId="087CA0C1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定价</w:t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政府</w:t>
            </w:r>
          </w:p>
          <w:p w14:paraId="16F29F7C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指导</w:t>
            </w:r>
          </w:p>
          <w:p w14:paraId="0412E919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价</w:t>
            </w:r>
          </w:p>
        </w:tc>
        <w:tc>
          <w:tcPr>
            <w:tcW w:w="896" w:type="dxa"/>
            <w:noWrap w:val="0"/>
            <w:vAlign w:val="center"/>
          </w:tcPr>
          <w:p w14:paraId="76BECA9F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具有自然垄断经营特征的机动车停车服务收费标准，住宅小区停车服务收费除外。</w:t>
            </w:r>
          </w:p>
        </w:tc>
      </w:tr>
      <w:tr w14:paraId="6765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9" w:type="dxa"/>
            <w:vMerge w:val="continue"/>
            <w:noWrap w:val="0"/>
            <w:vAlign w:val="center"/>
          </w:tcPr>
          <w:p w14:paraId="2D979F5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noWrap w:val="0"/>
            <w:vAlign w:val="center"/>
          </w:tcPr>
          <w:p w14:paraId="2B86CA2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vAlign w:val="center"/>
          </w:tcPr>
          <w:p w14:paraId="7A77BDE3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（二）政府财政性资金、城市建设投资公司投资建设的公共停车场，城市道路临时停车泊位收费标准</w:t>
            </w:r>
          </w:p>
        </w:tc>
        <w:tc>
          <w:tcPr>
            <w:tcW w:w="646" w:type="dxa"/>
            <w:vMerge w:val="restart"/>
            <w:noWrap w:val="0"/>
            <w:vAlign w:val="center"/>
          </w:tcPr>
          <w:p w14:paraId="294B9224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区域</w:t>
            </w:r>
          </w:p>
        </w:tc>
        <w:tc>
          <w:tcPr>
            <w:tcW w:w="1092" w:type="dxa"/>
            <w:vMerge w:val="restart"/>
            <w:noWrap w:val="0"/>
            <w:vAlign w:val="center"/>
          </w:tcPr>
          <w:p w14:paraId="0E53708E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车型</w:t>
            </w:r>
          </w:p>
        </w:tc>
        <w:tc>
          <w:tcPr>
            <w:tcW w:w="1526" w:type="dxa"/>
            <w:noWrap w:val="0"/>
            <w:vAlign w:val="center"/>
          </w:tcPr>
          <w:p w14:paraId="73F67B26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白天</w:t>
            </w:r>
          </w:p>
          <w:p w14:paraId="6100A314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（7:00含—20:00含）</w:t>
            </w:r>
          </w:p>
        </w:tc>
        <w:tc>
          <w:tcPr>
            <w:tcW w:w="1539" w:type="dxa"/>
            <w:noWrap w:val="0"/>
            <w:vAlign w:val="center"/>
          </w:tcPr>
          <w:p w14:paraId="1ED6FE76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夜间</w:t>
            </w:r>
          </w:p>
          <w:p w14:paraId="4BBCD9A1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（20:00—</w:t>
            </w:r>
          </w:p>
          <w:p w14:paraId="248A41E3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次日7:00）</w:t>
            </w:r>
          </w:p>
        </w:tc>
        <w:tc>
          <w:tcPr>
            <w:tcW w:w="924" w:type="dxa"/>
            <w:noWrap w:val="0"/>
            <w:vAlign w:val="center"/>
          </w:tcPr>
          <w:p w14:paraId="310243E8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每日</w:t>
            </w:r>
          </w:p>
          <w:p w14:paraId="3EFCEF15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最高</w:t>
            </w:r>
          </w:p>
        </w:tc>
        <w:tc>
          <w:tcPr>
            <w:tcW w:w="2346" w:type="dxa"/>
            <w:vMerge w:val="restart"/>
            <w:noWrap w:val="0"/>
            <w:vAlign w:val="center"/>
          </w:tcPr>
          <w:p w14:paraId="725EDB22"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="Times New Roman" w:hAnsi="Times New Roman" w:eastAsia="方正仿宋简体" w:cs="宋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</w:rPr>
              <w:t>《关于规范全市机动车停放服务收费管理有关问题的通知》（曲发改</w:t>
            </w:r>
            <w:r>
              <w:rPr>
                <w:rFonts w:hint="eastAsia" w:ascii="Times New Roman" w:hAnsi="Times New Roman" w:eastAsia="仿宋" w:cs="宋体"/>
                <w:b/>
                <w:sz w:val="21"/>
                <w:szCs w:val="21"/>
              </w:rPr>
              <w:t>﹝</w:t>
            </w: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</w:rPr>
              <w:t>2022</w:t>
            </w:r>
            <w:r>
              <w:rPr>
                <w:rFonts w:hint="eastAsia" w:ascii="Times New Roman" w:hAnsi="Times New Roman" w:eastAsia="仿宋" w:cs="宋体"/>
                <w:b/>
                <w:sz w:val="21"/>
                <w:szCs w:val="21"/>
              </w:rPr>
              <w:t>﹞</w:t>
            </w: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</w:rPr>
              <w:t>22号）</w:t>
            </w:r>
          </w:p>
          <w:p w14:paraId="380D2456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884" w:type="dxa"/>
            <w:vMerge w:val="continue"/>
            <w:noWrap w:val="0"/>
            <w:vAlign w:val="center"/>
          </w:tcPr>
          <w:p w14:paraId="2864EF4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 w14:paraId="0E83FC2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03" w:type="dxa"/>
            <w:vMerge w:val="restart"/>
            <w:noWrap w:val="0"/>
            <w:vAlign w:val="center"/>
          </w:tcPr>
          <w:p w14:paraId="7FA5D8F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否</w:t>
            </w:r>
          </w:p>
        </w:tc>
        <w:tc>
          <w:tcPr>
            <w:tcW w:w="499" w:type="dxa"/>
            <w:vMerge w:val="restart"/>
            <w:noWrap w:val="0"/>
            <w:vAlign w:val="center"/>
          </w:tcPr>
          <w:p w14:paraId="39FCDBA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否</w:t>
            </w:r>
          </w:p>
        </w:tc>
        <w:tc>
          <w:tcPr>
            <w:tcW w:w="500" w:type="dxa"/>
            <w:vMerge w:val="restart"/>
            <w:noWrap w:val="0"/>
            <w:vAlign w:val="center"/>
          </w:tcPr>
          <w:p w14:paraId="55F4E4C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否</w:t>
            </w:r>
          </w:p>
        </w:tc>
        <w:tc>
          <w:tcPr>
            <w:tcW w:w="616" w:type="dxa"/>
            <w:vMerge w:val="restart"/>
            <w:noWrap w:val="0"/>
            <w:vAlign w:val="center"/>
          </w:tcPr>
          <w:p w14:paraId="6808C6EF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政府</w:t>
            </w:r>
          </w:p>
          <w:p w14:paraId="656476F7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定价</w:t>
            </w:r>
          </w:p>
          <w:p w14:paraId="1955F656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政府</w:t>
            </w:r>
          </w:p>
          <w:p w14:paraId="06D58A56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指导</w:t>
            </w:r>
          </w:p>
          <w:p w14:paraId="11C15972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价</w:t>
            </w:r>
          </w:p>
        </w:tc>
        <w:tc>
          <w:tcPr>
            <w:tcW w:w="896" w:type="dxa"/>
            <w:vMerge w:val="restart"/>
            <w:noWrap w:val="0"/>
            <w:vAlign w:val="center"/>
          </w:tcPr>
          <w:p w14:paraId="6C033E1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</w:tr>
      <w:tr w14:paraId="68EA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9" w:type="dxa"/>
            <w:vMerge w:val="continue"/>
            <w:noWrap w:val="0"/>
            <w:vAlign w:val="center"/>
          </w:tcPr>
          <w:p w14:paraId="4CB4F86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noWrap w:val="0"/>
            <w:vAlign w:val="center"/>
          </w:tcPr>
          <w:p w14:paraId="2E18CF8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38AC330D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 w14:paraId="14436575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1AFE4158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1365334F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（元/小时）</w:t>
            </w:r>
          </w:p>
        </w:tc>
        <w:tc>
          <w:tcPr>
            <w:tcW w:w="1539" w:type="dxa"/>
            <w:noWrap w:val="0"/>
            <w:vAlign w:val="center"/>
          </w:tcPr>
          <w:p w14:paraId="3D84F481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（元/小时）</w:t>
            </w:r>
          </w:p>
        </w:tc>
        <w:tc>
          <w:tcPr>
            <w:tcW w:w="924" w:type="dxa"/>
            <w:noWrap w:val="0"/>
            <w:vAlign w:val="center"/>
          </w:tcPr>
          <w:p w14:paraId="58F5190F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（元/日）</w:t>
            </w:r>
          </w:p>
        </w:tc>
        <w:tc>
          <w:tcPr>
            <w:tcW w:w="2346" w:type="dxa"/>
            <w:vMerge w:val="continue"/>
            <w:noWrap w:val="0"/>
            <w:vAlign w:val="center"/>
          </w:tcPr>
          <w:p w14:paraId="6AB0834B">
            <w:pPr>
              <w:rPr>
                <w:rFonts w:hint="eastAsia" w:ascii="Times New Roman" w:hAnsi="Times New Roman" w:eastAsia="方正仿宋简体" w:cs="宋体"/>
                <w:b/>
                <w:szCs w:val="21"/>
              </w:rPr>
            </w:pPr>
          </w:p>
        </w:tc>
        <w:tc>
          <w:tcPr>
            <w:tcW w:w="884" w:type="dxa"/>
            <w:vMerge w:val="continue"/>
            <w:noWrap w:val="0"/>
            <w:vAlign w:val="center"/>
          </w:tcPr>
          <w:p w14:paraId="638DD4D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 w14:paraId="70C938E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 w14:paraId="7F60C4D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499" w:type="dxa"/>
            <w:vMerge w:val="continue"/>
            <w:noWrap w:val="0"/>
            <w:vAlign w:val="center"/>
          </w:tcPr>
          <w:p w14:paraId="28413D7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00" w:type="dxa"/>
            <w:vMerge w:val="continue"/>
            <w:noWrap w:val="0"/>
            <w:vAlign w:val="center"/>
          </w:tcPr>
          <w:p w14:paraId="4EE422F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 w14:paraId="2FDD2348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noWrap w:val="0"/>
            <w:vAlign w:val="center"/>
          </w:tcPr>
          <w:p w14:paraId="12B08CC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</w:tr>
      <w:tr w14:paraId="5246C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9" w:type="dxa"/>
            <w:vMerge w:val="continue"/>
            <w:noWrap w:val="0"/>
            <w:vAlign w:val="center"/>
          </w:tcPr>
          <w:p w14:paraId="4B0A26B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noWrap w:val="0"/>
            <w:vAlign w:val="center"/>
          </w:tcPr>
          <w:p w14:paraId="7AD626C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4F0C3A1D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646" w:type="dxa"/>
            <w:vMerge w:val="restart"/>
            <w:noWrap w:val="0"/>
            <w:vAlign w:val="center"/>
          </w:tcPr>
          <w:p w14:paraId="18300426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一类</w:t>
            </w:r>
          </w:p>
          <w:p w14:paraId="17099A4F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区域</w:t>
            </w:r>
          </w:p>
        </w:tc>
        <w:tc>
          <w:tcPr>
            <w:tcW w:w="1092" w:type="dxa"/>
            <w:noWrap w:val="0"/>
            <w:vAlign w:val="center"/>
          </w:tcPr>
          <w:p w14:paraId="4B9910BC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小微型车</w:t>
            </w:r>
          </w:p>
        </w:tc>
        <w:tc>
          <w:tcPr>
            <w:tcW w:w="1526" w:type="dxa"/>
            <w:noWrap w:val="0"/>
            <w:vAlign w:val="center"/>
          </w:tcPr>
          <w:p w14:paraId="2D7D285F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2</w:t>
            </w:r>
          </w:p>
        </w:tc>
        <w:tc>
          <w:tcPr>
            <w:tcW w:w="1539" w:type="dxa"/>
            <w:noWrap w:val="0"/>
            <w:vAlign w:val="center"/>
          </w:tcPr>
          <w:p w14:paraId="2F470B43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1</w:t>
            </w:r>
          </w:p>
        </w:tc>
        <w:tc>
          <w:tcPr>
            <w:tcW w:w="924" w:type="dxa"/>
            <w:noWrap w:val="0"/>
            <w:vAlign w:val="center"/>
          </w:tcPr>
          <w:p w14:paraId="38554A4B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20</w:t>
            </w:r>
          </w:p>
        </w:tc>
        <w:tc>
          <w:tcPr>
            <w:tcW w:w="2346" w:type="dxa"/>
            <w:vMerge w:val="continue"/>
            <w:noWrap w:val="0"/>
            <w:vAlign w:val="center"/>
          </w:tcPr>
          <w:p w14:paraId="1ABD0155">
            <w:pPr>
              <w:rPr>
                <w:rFonts w:hint="eastAsia" w:ascii="Times New Roman" w:hAnsi="Times New Roman" w:eastAsia="方正仿宋简体" w:cs="宋体"/>
                <w:b/>
                <w:szCs w:val="21"/>
              </w:rPr>
            </w:pPr>
          </w:p>
        </w:tc>
        <w:tc>
          <w:tcPr>
            <w:tcW w:w="884" w:type="dxa"/>
            <w:vMerge w:val="continue"/>
            <w:noWrap w:val="0"/>
            <w:vAlign w:val="center"/>
          </w:tcPr>
          <w:p w14:paraId="4052A3D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 w14:paraId="390698E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 w14:paraId="2A31B46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499" w:type="dxa"/>
            <w:vMerge w:val="continue"/>
            <w:noWrap w:val="0"/>
            <w:vAlign w:val="center"/>
          </w:tcPr>
          <w:p w14:paraId="69035B0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00" w:type="dxa"/>
            <w:vMerge w:val="continue"/>
            <w:noWrap w:val="0"/>
            <w:vAlign w:val="center"/>
          </w:tcPr>
          <w:p w14:paraId="6A1618E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 w14:paraId="5A200C27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noWrap w:val="0"/>
            <w:vAlign w:val="center"/>
          </w:tcPr>
          <w:p w14:paraId="6F08F6A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</w:tr>
      <w:tr w14:paraId="62C0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9" w:type="dxa"/>
            <w:vMerge w:val="continue"/>
            <w:noWrap w:val="0"/>
            <w:vAlign w:val="center"/>
          </w:tcPr>
          <w:p w14:paraId="0AC0C6A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noWrap w:val="0"/>
            <w:vAlign w:val="center"/>
          </w:tcPr>
          <w:p w14:paraId="5CC040D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3FE3A029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 w14:paraId="48C4376F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2153ED7E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中大型车</w:t>
            </w:r>
          </w:p>
        </w:tc>
        <w:tc>
          <w:tcPr>
            <w:tcW w:w="1526" w:type="dxa"/>
            <w:noWrap w:val="0"/>
            <w:vAlign w:val="center"/>
          </w:tcPr>
          <w:p w14:paraId="4A0D1D07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3</w:t>
            </w:r>
          </w:p>
        </w:tc>
        <w:tc>
          <w:tcPr>
            <w:tcW w:w="1539" w:type="dxa"/>
            <w:noWrap w:val="0"/>
            <w:vAlign w:val="center"/>
          </w:tcPr>
          <w:p w14:paraId="64D30857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1</w:t>
            </w:r>
          </w:p>
        </w:tc>
        <w:tc>
          <w:tcPr>
            <w:tcW w:w="924" w:type="dxa"/>
            <w:noWrap w:val="0"/>
            <w:vAlign w:val="center"/>
          </w:tcPr>
          <w:p w14:paraId="48F92FF2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25</w:t>
            </w:r>
          </w:p>
        </w:tc>
        <w:tc>
          <w:tcPr>
            <w:tcW w:w="2346" w:type="dxa"/>
            <w:vMerge w:val="continue"/>
            <w:noWrap w:val="0"/>
            <w:vAlign w:val="center"/>
          </w:tcPr>
          <w:p w14:paraId="649F8F51">
            <w:pPr>
              <w:rPr>
                <w:rFonts w:hint="eastAsia" w:ascii="Times New Roman" w:hAnsi="Times New Roman" w:eastAsia="方正仿宋简体" w:cs="宋体"/>
                <w:b/>
                <w:szCs w:val="21"/>
              </w:rPr>
            </w:pPr>
          </w:p>
        </w:tc>
        <w:tc>
          <w:tcPr>
            <w:tcW w:w="884" w:type="dxa"/>
            <w:vMerge w:val="continue"/>
            <w:noWrap w:val="0"/>
            <w:vAlign w:val="center"/>
          </w:tcPr>
          <w:p w14:paraId="1DA9505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 w14:paraId="2C25837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 w14:paraId="559D0EF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499" w:type="dxa"/>
            <w:vMerge w:val="continue"/>
            <w:noWrap w:val="0"/>
            <w:vAlign w:val="center"/>
          </w:tcPr>
          <w:p w14:paraId="527538F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00" w:type="dxa"/>
            <w:vMerge w:val="continue"/>
            <w:noWrap w:val="0"/>
            <w:vAlign w:val="center"/>
          </w:tcPr>
          <w:p w14:paraId="76080B7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 w14:paraId="32D1B731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noWrap w:val="0"/>
            <w:vAlign w:val="center"/>
          </w:tcPr>
          <w:p w14:paraId="65E80E0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</w:tr>
      <w:tr w14:paraId="1360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9" w:type="dxa"/>
            <w:vMerge w:val="continue"/>
            <w:noWrap w:val="0"/>
            <w:vAlign w:val="center"/>
          </w:tcPr>
          <w:p w14:paraId="4D99D7C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noWrap w:val="0"/>
            <w:vAlign w:val="center"/>
          </w:tcPr>
          <w:p w14:paraId="6C3303C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05555F0A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646" w:type="dxa"/>
            <w:vMerge w:val="restart"/>
            <w:noWrap w:val="0"/>
            <w:vAlign w:val="center"/>
          </w:tcPr>
          <w:p w14:paraId="508BC6D9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二类</w:t>
            </w:r>
          </w:p>
          <w:p w14:paraId="2E92E741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区域</w:t>
            </w:r>
          </w:p>
        </w:tc>
        <w:tc>
          <w:tcPr>
            <w:tcW w:w="1092" w:type="dxa"/>
            <w:noWrap w:val="0"/>
            <w:vAlign w:val="center"/>
          </w:tcPr>
          <w:p w14:paraId="6FA7CFA1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小微型车</w:t>
            </w:r>
          </w:p>
        </w:tc>
        <w:tc>
          <w:tcPr>
            <w:tcW w:w="1526" w:type="dxa"/>
            <w:noWrap w:val="0"/>
            <w:vAlign w:val="center"/>
          </w:tcPr>
          <w:p w14:paraId="65E330CC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1</w:t>
            </w:r>
          </w:p>
        </w:tc>
        <w:tc>
          <w:tcPr>
            <w:tcW w:w="1539" w:type="dxa"/>
            <w:noWrap w:val="0"/>
            <w:vAlign w:val="center"/>
          </w:tcPr>
          <w:p w14:paraId="0386F67F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0.5</w:t>
            </w:r>
          </w:p>
        </w:tc>
        <w:tc>
          <w:tcPr>
            <w:tcW w:w="924" w:type="dxa"/>
            <w:noWrap w:val="0"/>
            <w:vAlign w:val="center"/>
          </w:tcPr>
          <w:p w14:paraId="412DBAC4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15</w:t>
            </w:r>
          </w:p>
        </w:tc>
        <w:tc>
          <w:tcPr>
            <w:tcW w:w="2346" w:type="dxa"/>
            <w:vMerge w:val="continue"/>
            <w:noWrap w:val="0"/>
            <w:vAlign w:val="center"/>
          </w:tcPr>
          <w:p w14:paraId="2CF93C3A">
            <w:pPr>
              <w:rPr>
                <w:rFonts w:hint="eastAsia" w:ascii="Times New Roman" w:hAnsi="Times New Roman" w:eastAsia="方正仿宋简体" w:cs="宋体"/>
                <w:b/>
                <w:szCs w:val="21"/>
              </w:rPr>
            </w:pPr>
          </w:p>
        </w:tc>
        <w:tc>
          <w:tcPr>
            <w:tcW w:w="884" w:type="dxa"/>
            <w:vMerge w:val="continue"/>
            <w:noWrap w:val="0"/>
            <w:vAlign w:val="center"/>
          </w:tcPr>
          <w:p w14:paraId="20D1263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 w14:paraId="2753361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 w14:paraId="798E68C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499" w:type="dxa"/>
            <w:vMerge w:val="continue"/>
            <w:noWrap w:val="0"/>
            <w:vAlign w:val="center"/>
          </w:tcPr>
          <w:p w14:paraId="785ED5D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00" w:type="dxa"/>
            <w:vMerge w:val="continue"/>
            <w:noWrap w:val="0"/>
            <w:vAlign w:val="center"/>
          </w:tcPr>
          <w:p w14:paraId="52F8F12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 w14:paraId="5103A62A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noWrap w:val="0"/>
            <w:vAlign w:val="center"/>
          </w:tcPr>
          <w:p w14:paraId="445DD97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</w:tr>
      <w:tr w14:paraId="71B4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9" w:type="dxa"/>
            <w:vMerge w:val="continue"/>
            <w:noWrap w:val="0"/>
            <w:vAlign w:val="center"/>
          </w:tcPr>
          <w:p w14:paraId="42CD99A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noWrap w:val="0"/>
            <w:vAlign w:val="center"/>
          </w:tcPr>
          <w:p w14:paraId="6EEC55C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59FF3E84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 w14:paraId="5F49BD70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4718B1F8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中大型车</w:t>
            </w:r>
          </w:p>
        </w:tc>
        <w:tc>
          <w:tcPr>
            <w:tcW w:w="1526" w:type="dxa"/>
            <w:noWrap w:val="0"/>
            <w:vAlign w:val="center"/>
          </w:tcPr>
          <w:p w14:paraId="5B65278B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1.5</w:t>
            </w:r>
          </w:p>
        </w:tc>
        <w:tc>
          <w:tcPr>
            <w:tcW w:w="1539" w:type="dxa"/>
            <w:noWrap w:val="0"/>
            <w:vAlign w:val="center"/>
          </w:tcPr>
          <w:p w14:paraId="066385DE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1</w:t>
            </w:r>
          </w:p>
        </w:tc>
        <w:tc>
          <w:tcPr>
            <w:tcW w:w="924" w:type="dxa"/>
            <w:noWrap w:val="0"/>
            <w:vAlign w:val="center"/>
          </w:tcPr>
          <w:p w14:paraId="424F3B52">
            <w:pPr>
              <w:spacing w:line="20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20</w:t>
            </w:r>
          </w:p>
        </w:tc>
        <w:tc>
          <w:tcPr>
            <w:tcW w:w="2346" w:type="dxa"/>
            <w:vMerge w:val="continue"/>
            <w:noWrap w:val="0"/>
            <w:vAlign w:val="center"/>
          </w:tcPr>
          <w:p w14:paraId="3F53DFD8">
            <w:pPr>
              <w:rPr>
                <w:rFonts w:hint="eastAsia" w:ascii="Times New Roman" w:hAnsi="Times New Roman" w:eastAsia="方正仿宋简体" w:cs="宋体"/>
                <w:b/>
                <w:szCs w:val="21"/>
              </w:rPr>
            </w:pPr>
          </w:p>
        </w:tc>
        <w:tc>
          <w:tcPr>
            <w:tcW w:w="884" w:type="dxa"/>
            <w:vMerge w:val="continue"/>
            <w:noWrap w:val="0"/>
            <w:vAlign w:val="center"/>
          </w:tcPr>
          <w:p w14:paraId="15A9372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 w14:paraId="28C0F7B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 w14:paraId="024D62D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499" w:type="dxa"/>
            <w:vMerge w:val="continue"/>
            <w:noWrap w:val="0"/>
            <w:vAlign w:val="center"/>
          </w:tcPr>
          <w:p w14:paraId="784B317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00" w:type="dxa"/>
            <w:vMerge w:val="continue"/>
            <w:noWrap w:val="0"/>
            <w:vAlign w:val="center"/>
          </w:tcPr>
          <w:p w14:paraId="156C70D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 w14:paraId="4F164752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noWrap w:val="0"/>
            <w:vAlign w:val="center"/>
          </w:tcPr>
          <w:p w14:paraId="40971FD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</w:tr>
      <w:tr w14:paraId="2783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299" w:type="dxa"/>
            <w:vMerge w:val="restart"/>
            <w:noWrap w:val="0"/>
            <w:vAlign w:val="center"/>
          </w:tcPr>
          <w:p w14:paraId="247EFDC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公用事业服务收费</w:t>
            </w:r>
          </w:p>
        </w:tc>
        <w:tc>
          <w:tcPr>
            <w:tcW w:w="595" w:type="dxa"/>
            <w:vMerge w:val="restart"/>
            <w:noWrap w:val="0"/>
            <w:vAlign w:val="center"/>
          </w:tcPr>
          <w:p w14:paraId="2FAD645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二、生活垃圾处理收费（按经营服务性收费管理的）</w:t>
            </w:r>
          </w:p>
        </w:tc>
        <w:tc>
          <w:tcPr>
            <w:tcW w:w="1050" w:type="dxa"/>
            <w:noWrap w:val="0"/>
            <w:vAlign w:val="center"/>
          </w:tcPr>
          <w:p w14:paraId="79C22B2F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（一）居民生活垃圾处理收费</w:t>
            </w:r>
          </w:p>
        </w:tc>
        <w:tc>
          <w:tcPr>
            <w:tcW w:w="5727" w:type="dxa"/>
            <w:gridSpan w:val="5"/>
            <w:vMerge w:val="restart"/>
            <w:noWrap w:val="0"/>
            <w:vAlign w:val="center"/>
          </w:tcPr>
          <w:p w14:paraId="1D999A85">
            <w:pPr>
              <w:widowControl/>
              <w:spacing w:line="30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1.常住居民每户6元/月，暂住居民每户4元/月，其他暂住人口2元/月。2.机关等在职人员每人每月3元。3.旅店业等每床位每月3元。4餐饮业等服务场所每平方每月1.5元。5.客运车辆每车每月15元。6.零售商店等每平方每月0.5元。集贸、农贸市场每摊位0.5元。7.火车站等候车室每平方每月1元。</w:t>
            </w:r>
          </w:p>
        </w:tc>
        <w:tc>
          <w:tcPr>
            <w:tcW w:w="2346" w:type="dxa"/>
            <w:vMerge w:val="restart"/>
            <w:noWrap w:val="0"/>
            <w:vAlign w:val="center"/>
          </w:tcPr>
          <w:p w14:paraId="09AECE71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《曲阜市城区生活垃圾处理费征收使用管理办法》（曲政办发[2023]12号）</w:t>
            </w:r>
          </w:p>
        </w:tc>
        <w:tc>
          <w:tcPr>
            <w:tcW w:w="884" w:type="dxa"/>
            <w:vMerge w:val="restart"/>
            <w:noWrap w:val="0"/>
            <w:vAlign w:val="center"/>
          </w:tcPr>
          <w:p w14:paraId="2D8B4B3D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市政府价格主管部门</w:t>
            </w:r>
          </w:p>
        </w:tc>
        <w:tc>
          <w:tcPr>
            <w:tcW w:w="881" w:type="dxa"/>
            <w:vMerge w:val="restart"/>
            <w:noWrap w:val="0"/>
            <w:vAlign w:val="center"/>
          </w:tcPr>
          <w:p w14:paraId="7608A72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综合行政执法部门</w:t>
            </w:r>
          </w:p>
        </w:tc>
        <w:tc>
          <w:tcPr>
            <w:tcW w:w="503" w:type="dxa"/>
            <w:noWrap w:val="0"/>
            <w:vAlign w:val="center"/>
          </w:tcPr>
          <w:p w14:paraId="47FB603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否</w:t>
            </w:r>
          </w:p>
        </w:tc>
        <w:tc>
          <w:tcPr>
            <w:tcW w:w="499" w:type="dxa"/>
            <w:noWrap w:val="0"/>
            <w:vAlign w:val="center"/>
          </w:tcPr>
          <w:p w14:paraId="4BF3FB2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否</w:t>
            </w:r>
          </w:p>
        </w:tc>
        <w:tc>
          <w:tcPr>
            <w:tcW w:w="500" w:type="dxa"/>
            <w:noWrap w:val="0"/>
            <w:vAlign w:val="center"/>
          </w:tcPr>
          <w:p w14:paraId="276B689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否</w:t>
            </w:r>
          </w:p>
        </w:tc>
        <w:tc>
          <w:tcPr>
            <w:tcW w:w="616" w:type="dxa"/>
            <w:noWrap w:val="0"/>
            <w:vAlign w:val="center"/>
          </w:tcPr>
          <w:p w14:paraId="5E74A234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政府</w:t>
            </w:r>
          </w:p>
          <w:p w14:paraId="69F5C73A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指导</w:t>
            </w:r>
          </w:p>
          <w:p w14:paraId="6890D0CB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价</w:t>
            </w:r>
          </w:p>
        </w:tc>
        <w:tc>
          <w:tcPr>
            <w:tcW w:w="896" w:type="dxa"/>
            <w:noWrap w:val="0"/>
            <w:vAlign w:val="center"/>
          </w:tcPr>
          <w:p w14:paraId="3C62759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</w:tr>
      <w:tr w14:paraId="75D6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299" w:type="dxa"/>
            <w:vMerge w:val="continue"/>
            <w:noWrap w:val="0"/>
            <w:vAlign w:val="center"/>
          </w:tcPr>
          <w:p w14:paraId="6A3B2BD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noWrap w:val="0"/>
            <w:vAlign w:val="center"/>
          </w:tcPr>
          <w:p w14:paraId="286B1D3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8306DB6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（二）非居民生活垃圾处理收费</w:t>
            </w:r>
          </w:p>
        </w:tc>
        <w:tc>
          <w:tcPr>
            <w:tcW w:w="5727" w:type="dxa"/>
            <w:gridSpan w:val="5"/>
            <w:vMerge w:val="continue"/>
            <w:noWrap w:val="0"/>
            <w:vAlign w:val="center"/>
          </w:tcPr>
          <w:p w14:paraId="68A4709D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2346" w:type="dxa"/>
            <w:vMerge w:val="continue"/>
            <w:noWrap w:val="0"/>
            <w:vAlign w:val="center"/>
          </w:tcPr>
          <w:p w14:paraId="63E60317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884" w:type="dxa"/>
            <w:vMerge w:val="continue"/>
            <w:noWrap w:val="0"/>
            <w:vAlign w:val="center"/>
          </w:tcPr>
          <w:p w14:paraId="7688529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 w14:paraId="4934017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03" w:type="dxa"/>
            <w:noWrap w:val="0"/>
            <w:vAlign w:val="center"/>
          </w:tcPr>
          <w:p w14:paraId="10BC2B6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是</w:t>
            </w:r>
          </w:p>
        </w:tc>
        <w:tc>
          <w:tcPr>
            <w:tcW w:w="499" w:type="dxa"/>
            <w:noWrap w:val="0"/>
            <w:vAlign w:val="center"/>
          </w:tcPr>
          <w:p w14:paraId="7139F7E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否</w:t>
            </w:r>
          </w:p>
        </w:tc>
        <w:tc>
          <w:tcPr>
            <w:tcW w:w="500" w:type="dxa"/>
            <w:noWrap w:val="0"/>
            <w:vAlign w:val="center"/>
          </w:tcPr>
          <w:p w14:paraId="48E4BDF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否</w:t>
            </w:r>
          </w:p>
        </w:tc>
        <w:tc>
          <w:tcPr>
            <w:tcW w:w="616" w:type="dxa"/>
            <w:noWrap w:val="0"/>
            <w:vAlign w:val="center"/>
          </w:tcPr>
          <w:p w14:paraId="678037B1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政府</w:t>
            </w:r>
          </w:p>
          <w:p w14:paraId="75F113DB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指导</w:t>
            </w:r>
          </w:p>
          <w:p w14:paraId="47677385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价</w:t>
            </w:r>
          </w:p>
        </w:tc>
        <w:tc>
          <w:tcPr>
            <w:tcW w:w="896" w:type="dxa"/>
            <w:noWrap w:val="0"/>
            <w:vAlign w:val="center"/>
          </w:tcPr>
          <w:p w14:paraId="2021915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</w:tr>
      <w:tr w14:paraId="5AE15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299" w:type="dxa"/>
            <w:vMerge w:val="continue"/>
            <w:noWrap w:val="0"/>
            <w:vAlign w:val="center"/>
          </w:tcPr>
          <w:p w14:paraId="651CAED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1665A35E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三、有线数字电视基本收视维护费</w:t>
            </w:r>
          </w:p>
        </w:tc>
        <w:tc>
          <w:tcPr>
            <w:tcW w:w="5727" w:type="dxa"/>
            <w:gridSpan w:val="5"/>
            <w:noWrap w:val="0"/>
            <w:vAlign w:val="center"/>
          </w:tcPr>
          <w:p w14:paraId="3B190F85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1. 城市：25元/月，农村20元/月。2.烈士家属等12元/月。3.民政部门认定的五保户、贫困户等12元/月。</w:t>
            </w:r>
          </w:p>
        </w:tc>
        <w:tc>
          <w:tcPr>
            <w:tcW w:w="2346" w:type="dxa"/>
            <w:noWrap w:val="0"/>
            <w:vAlign w:val="center"/>
          </w:tcPr>
          <w:p w14:paraId="31F17707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关于明确有线数字电视基本收视维护费有关问题的通知》（曲发改〔2023〕28号）</w:t>
            </w:r>
          </w:p>
        </w:tc>
        <w:tc>
          <w:tcPr>
            <w:tcW w:w="884" w:type="dxa"/>
            <w:noWrap w:val="0"/>
            <w:vAlign w:val="center"/>
          </w:tcPr>
          <w:p w14:paraId="7C00AA5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市政府价格主管部门</w:t>
            </w:r>
          </w:p>
        </w:tc>
        <w:tc>
          <w:tcPr>
            <w:tcW w:w="881" w:type="dxa"/>
            <w:noWrap w:val="0"/>
            <w:vAlign w:val="center"/>
          </w:tcPr>
          <w:p w14:paraId="6605A3B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广电部门</w:t>
            </w:r>
          </w:p>
        </w:tc>
        <w:tc>
          <w:tcPr>
            <w:tcW w:w="503" w:type="dxa"/>
            <w:noWrap w:val="0"/>
            <w:vAlign w:val="center"/>
          </w:tcPr>
          <w:p w14:paraId="5BD83F0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否</w:t>
            </w:r>
          </w:p>
        </w:tc>
        <w:tc>
          <w:tcPr>
            <w:tcW w:w="499" w:type="dxa"/>
            <w:noWrap w:val="0"/>
            <w:vAlign w:val="center"/>
          </w:tcPr>
          <w:p w14:paraId="64B4160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否</w:t>
            </w:r>
          </w:p>
        </w:tc>
        <w:tc>
          <w:tcPr>
            <w:tcW w:w="500" w:type="dxa"/>
            <w:noWrap w:val="0"/>
            <w:vAlign w:val="center"/>
          </w:tcPr>
          <w:p w14:paraId="33338A5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否</w:t>
            </w:r>
          </w:p>
        </w:tc>
        <w:tc>
          <w:tcPr>
            <w:tcW w:w="616" w:type="dxa"/>
            <w:noWrap w:val="0"/>
            <w:vAlign w:val="center"/>
          </w:tcPr>
          <w:p w14:paraId="1E903391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政府</w:t>
            </w:r>
          </w:p>
          <w:p w14:paraId="327436DA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指导</w:t>
            </w:r>
          </w:p>
          <w:p w14:paraId="146325FA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价</w:t>
            </w:r>
          </w:p>
        </w:tc>
        <w:tc>
          <w:tcPr>
            <w:tcW w:w="896" w:type="dxa"/>
            <w:noWrap w:val="0"/>
            <w:vAlign w:val="center"/>
          </w:tcPr>
          <w:p w14:paraId="2689D7B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</w:tr>
      <w:tr w14:paraId="7433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299" w:type="dxa"/>
            <w:vMerge w:val="restart"/>
            <w:noWrap w:val="0"/>
            <w:vAlign w:val="center"/>
          </w:tcPr>
          <w:p w14:paraId="69AA051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其它特定服务收费</w:t>
            </w:r>
          </w:p>
        </w:tc>
        <w:tc>
          <w:tcPr>
            <w:tcW w:w="595" w:type="dxa"/>
            <w:vMerge w:val="restart"/>
            <w:noWrap w:val="0"/>
            <w:vAlign w:val="center"/>
          </w:tcPr>
          <w:p w14:paraId="4438E16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四、普通住宅前期物业服务收费</w:t>
            </w:r>
          </w:p>
        </w:tc>
        <w:tc>
          <w:tcPr>
            <w:tcW w:w="1050" w:type="dxa"/>
            <w:noWrap w:val="0"/>
            <w:vAlign w:val="center"/>
          </w:tcPr>
          <w:p w14:paraId="452C9D17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城区内普通住宅前期物业服务收费标准</w:t>
            </w:r>
          </w:p>
        </w:tc>
        <w:tc>
          <w:tcPr>
            <w:tcW w:w="5727" w:type="dxa"/>
            <w:gridSpan w:val="5"/>
            <w:noWrap w:val="0"/>
            <w:vAlign w:val="center"/>
          </w:tcPr>
          <w:p w14:paraId="72DD5C8B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服务等级分类及标准（元/平方米.月）</w:t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星级  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无电梯  有电梯</w:t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一星级 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t xml:space="preserve"> 0.20</w:t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  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t xml:space="preserve"> 0.50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二星级 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t xml:space="preserve"> 0.35</w:t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  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t xml:space="preserve"> 0.80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三星级 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t xml:space="preserve"> 0.45</w:t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  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t xml:space="preserve"> 1.00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四星级 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t xml:space="preserve"> 0.60</w:t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  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t xml:space="preserve"> 1.30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五星级 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t xml:space="preserve"> 0.75</w:t>
            </w: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  </w:t>
            </w:r>
            <w:r>
              <w:rPr>
                <w:rFonts w:hint="eastAsia" w:ascii="Times New Roman" w:hAnsi="Times New Roman" w:eastAsia="方正仿宋简体" w:cs="仿宋"/>
                <w:b/>
                <w:kern w:val="0"/>
                <w:szCs w:val="21"/>
              </w:rPr>
              <w:t xml:space="preserve"> 1.60</w:t>
            </w:r>
          </w:p>
        </w:tc>
        <w:tc>
          <w:tcPr>
            <w:tcW w:w="2346" w:type="dxa"/>
            <w:vMerge w:val="restart"/>
            <w:noWrap w:val="0"/>
            <w:vAlign w:val="center"/>
          </w:tcPr>
          <w:p w14:paraId="279C3B60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《关于继续执行曲阜市普通住宅前期物业服务收费标准的通知》（曲发改〔2024〕1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号）</w:t>
            </w:r>
          </w:p>
        </w:tc>
        <w:tc>
          <w:tcPr>
            <w:tcW w:w="884" w:type="dxa"/>
            <w:vMerge w:val="restart"/>
            <w:noWrap w:val="0"/>
            <w:vAlign w:val="center"/>
          </w:tcPr>
          <w:p w14:paraId="59FB3C8D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市政府价格主管部门</w:t>
            </w:r>
          </w:p>
        </w:tc>
        <w:tc>
          <w:tcPr>
            <w:tcW w:w="881" w:type="dxa"/>
            <w:vMerge w:val="restart"/>
            <w:noWrap w:val="0"/>
            <w:vAlign w:val="center"/>
          </w:tcPr>
          <w:p w14:paraId="6E7F2DA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住建部门</w:t>
            </w:r>
          </w:p>
        </w:tc>
        <w:tc>
          <w:tcPr>
            <w:tcW w:w="503" w:type="dxa"/>
            <w:vMerge w:val="restart"/>
            <w:noWrap w:val="0"/>
            <w:vAlign w:val="center"/>
          </w:tcPr>
          <w:p w14:paraId="51024DE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否</w:t>
            </w:r>
          </w:p>
        </w:tc>
        <w:tc>
          <w:tcPr>
            <w:tcW w:w="499" w:type="dxa"/>
            <w:vMerge w:val="restart"/>
            <w:noWrap w:val="0"/>
            <w:vAlign w:val="center"/>
          </w:tcPr>
          <w:p w14:paraId="24F0CB1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否</w:t>
            </w:r>
          </w:p>
        </w:tc>
        <w:tc>
          <w:tcPr>
            <w:tcW w:w="500" w:type="dxa"/>
            <w:vMerge w:val="restart"/>
            <w:noWrap w:val="0"/>
            <w:vAlign w:val="center"/>
          </w:tcPr>
          <w:p w14:paraId="274EABA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否</w:t>
            </w:r>
          </w:p>
        </w:tc>
        <w:tc>
          <w:tcPr>
            <w:tcW w:w="616" w:type="dxa"/>
            <w:vMerge w:val="restart"/>
            <w:noWrap w:val="0"/>
            <w:vAlign w:val="center"/>
          </w:tcPr>
          <w:p w14:paraId="18D1236B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政府</w:t>
            </w:r>
          </w:p>
          <w:p w14:paraId="2392EEFB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指导</w:t>
            </w:r>
          </w:p>
          <w:p w14:paraId="2AB8EB74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价</w:t>
            </w:r>
          </w:p>
        </w:tc>
        <w:tc>
          <w:tcPr>
            <w:tcW w:w="896" w:type="dxa"/>
            <w:vMerge w:val="restart"/>
            <w:noWrap w:val="0"/>
            <w:vAlign w:val="center"/>
          </w:tcPr>
          <w:p w14:paraId="219D078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</w:tr>
      <w:tr w14:paraId="6F8A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99" w:type="dxa"/>
            <w:vMerge w:val="continue"/>
            <w:noWrap w:val="0"/>
            <w:vAlign w:val="center"/>
          </w:tcPr>
          <w:p w14:paraId="1503C7B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noWrap w:val="0"/>
            <w:vAlign w:val="center"/>
          </w:tcPr>
          <w:p w14:paraId="11AA05A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234FFB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普通住宅车位租赁费</w:t>
            </w:r>
          </w:p>
        </w:tc>
        <w:tc>
          <w:tcPr>
            <w:tcW w:w="5727" w:type="dxa"/>
            <w:gridSpan w:val="5"/>
            <w:noWrap w:val="0"/>
            <w:vAlign w:val="center"/>
          </w:tcPr>
          <w:p w14:paraId="333359CC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地上80元/月/车位，地下180元/月/车位。上浮不超过10%，下浮不限。</w:t>
            </w:r>
          </w:p>
        </w:tc>
        <w:tc>
          <w:tcPr>
            <w:tcW w:w="2346" w:type="dxa"/>
            <w:vMerge w:val="continue"/>
            <w:noWrap w:val="0"/>
            <w:vAlign w:val="center"/>
          </w:tcPr>
          <w:p w14:paraId="1EA55EC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884" w:type="dxa"/>
            <w:vMerge w:val="continue"/>
            <w:noWrap w:val="0"/>
            <w:vAlign w:val="center"/>
          </w:tcPr>
          <w:p w14:paraId="5D5E1DE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 w14:paraId="5B02A1A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 w14:paraId="7482435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499" w:type="dxa"/>
            <w:vMerge w:val="continue"/>
            <w:noWrap w:val="0"/>
            <w:vAlign w:val="center"/>
          </w:tcPr>
          <w:p w14:paraId="568376C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00" w:type="dxa"/>
            <w:vMerge w:val="continue"/>
            <w:noWrap w:val="0"/>
            <w:vAlign w:val="center"/>
          </w:tcPr>
          <w:p w14:paraId="10097CA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 w14:paraId="4D179E5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noWrap w:val="0"/>
            <w:vAlign w:val="center"/>
          </w:tcPr>
          <w:p w14:paraId="669DC72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</w:tr>
      <w:tr w14:paraId="12AA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99" w:type="dxa"/>
            <w:vMerge w:val="continue"/>
            <w:noWrap w:val="0"/>
            <w:vAlign w:val="center"/>
          </w:tcPr>
          <w:p w14:paraId="01E9EB2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noWrap w:val="0"/>
            <w:vAlign w:val="center"/>
          </w:tcPr>
          <w:p w14:paraId="4F5D6DB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D8A27A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前期停车服务费</w:t>
            </w:r>
          </w:p>
        </w:tc>
        <w:tc>
          <w:tcPr>
            <w:tcW w:w="5727" w:type="dxa"/>
            <w:gridSpan w:val="5"/>
            <w:noWrap w:val="0"/>
            <w:vAlign w:val="center"/>
          </w:tcPr>
          <w:p w14:paraId="14C09CF3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25元/月/车位。上浮不超过10%，下浮不限。</w:t>
            </w:r>
          </w:p>
        </w:tc>
        <w:tc>
          <w:tcPr>
            <w:tcW w:w="2346" w:type="dxa"/>
            <w:vMerge w:val="continue"/>
            <w:noWrap w:val="0"/>
            <w:vAlign w:val="center"/>
          </w:tcPr>
          <w:p w14:paraId="25C9790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884" w:type="dxa"/>
            <w:vMerge w:val="continue"/>
            <w:noWrap w:val="0"/>
            <w:vAlign w:val="center"/>
          </w:tcPr>
          <w:p w14:paraId="5942591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 w14:paraId="05C979C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 w14:paraId="0CF62BB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499" w:type="dxa"/>
            <w:vMerge w:val="continue"/>
            <w:noWrap w:val="0"/>
            <w:vAlign w:val="center"/>
          </w:tcPr>
          <w:p w14:paraId="1C2A9A7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00" w:type="dxa"/>
            <w:vMerge w:val="continue"/>
            <w:noWrap w:val="0"/>
            <w:vAlign w:val="center"/>
          </w:tcPr>
          <w:p w14:paraId="2E0D213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 w14:paraId="12C6F43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noWrap w:val="0"/>
            <w:vAlign w:val="center"/>
          </w:tcPr>
          <w:p w14:paraId="3954B27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</w:tr>
      <w:tr w14:paraId="237F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299" w:type="dxa"/>
            <w:vMerge w:val="continue"/>
            <w:noWrap w:val="0"/>
            <w:vAlign w:val="center"/>
          </w:tcPr>
          <w:p w14:paraId="1B74480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noWrap w:val="0"/>
            <w:vAlign w:val="center"/>
          </w:tcPr>
          <w:p w14:paraId="54CC48F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B1B660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前期临时停车费</w:t>
            </w:r>
          </w:p>
        </w:tc>
        <w:tc>
          <w:tcPr>
            <w:tcW w:w="5727" w:type="dxa"/>
            <w:gridSpan w:val="5"/>
            <w:noWrap w:val="0"/>
            <w:vAlign w:val="center"/>
          </w:tcPr>
          <w:p w14:paraId="4256BA1F">
            <w:pPr>
              <w:widowControl/>
              <w:spacing w:line="240" w:lineRule="exact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停放时间不超过2小时的，不收费；超过2小时的，第一个小时内收费2元，以后每小时加收1元，全天累计最高收费8元。军警车辆免费停放。</w:t>
            </w:r>
          </w:p>
        </w:tc>
        <w:tc>
          <w:tcPr>
            <w:tcW w:w="2346" w:type="dxa"/>
            <w:vMerge w:val="continue"/>
            <w:noWrap w:val="0"/>
            <w:vAlign w:val="center"/>
          </w:tcPr>
          <w:p w14:paraId="7B3763C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884" w:type="dxa"/>
            <w:vMerge w:val="continue"/>
            <w:noWrap w:val="0"/>
            <w:vAlign w:val="center"/>
          </w:tcPr>
          <w:p w14:paraId="01D0EFF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 w14:paraId="0BFBED4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 w14:paraId="4A4AEC0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499" w:type="dxa"/>
            <w:vMerge w:val="continue"/>
            <w:noWrap w:val="0"/>
            <w:vAlign w:val="center"/>
          </w:tcPr>
          <w:p w14:paraId="2863416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500" w:type="dxa"/>
            <w:vMerge w:val="continue"/>
            <w:noWrap w:val="0"/>
            <w:vAlign w:val="center"/>
          </w:tcPr>
          <w:p w14:paraId="19CD611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 w14:paraId="4CE21D7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noWrap w:val="0"/>
            <w:vAlign w:val="center"/>
          </w:tcPr>
          <w:p w14:paraId="4D31B05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</w:p>
        </w:tc>
      </w:tr>
      <w:tr w14:paraId="30C2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796" w:type="dxa"/>
            <w:gridSpan w:val="16"/>
            <w:noWrap w:val="0"/>
            <w:vAlign w:val="center"/>
          </w:tcPr>
          <w:p w14:paraId="3FD790D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kern w:val="0"/>
                <w:szCs w:val="21"/>
              </w:rPr>
              <w:t>说明：本定价目录不包含中央、省、市定价项目内容，在县内凡涉及中央、省、市定价的定价项目、定价内容一律按中央、省、市定价目录执行。</w:t>
            </w:r>
          </w:p>
        </w:tc>
      </w:tr>
    </w:tbl>
    <w:p w14:paraId="2A143599">
      <w:pPr>
        <w:sectPr>
          <w:pgSz w:w="16839" w:h="11907" w:orient="landscape"/>
          <w:pgMar w:top="1701" w:right="1418" w:bottom="1418" w:left="1418" w:header="851" w:footer="1361" w:gutter="0"/>
          <w:pgNumType w:fmt="numberInDash"/>
          <w:cols w:space="720" w:num="1"/>
          <w:docGrid w:type="lines" w:linePitch="312" w:charSpace="0"/>
        </w:sectPr>
      </w:pPr>
    </w:p>
    <w:p w14:paraId="3F3F30BE"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Y2YwNzhkZDdhYzNkNzZiN2NiZDA0ZGJiNmVhNWMifQ=="/>
  </w:docVars>
  <w:rsids>
    <w:rsidRoot w:val="0E91065D"/>
    <w:rsid w:val="053C6A73"/>
    <w:rsid w:val="0E91065D"/>
    <w:rsid w:val="3C1F267C"/>
    <w:rsid w:val="4B52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2024-08-22T01:01:00Z</dcterms:created>
  <dc:creator>Administrator</dc:creator>
  <cp:lastModifiedBy>Administrator</cp:lastModifiedBy>
  <dcterms:modified xsi:type="dcterms:W3CDTF">2024-08-22T01:17:56Z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FEDD5E73A9EC4AC6818A6EBFEEC2CB3E_11</vt:lpwstr>
  </property>
</Properties>
</file>