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b/>
          <w:bCs/>
          <w:i w:val="0"/>
          <w:caps w:val="0"/>
          <w:color w:val="000000"/>
          <w:spacing w:val="0"/>
          <w:sz w:val="44"/>
          <w:szCs w:val="44"/>
          <w:lang w:val="en-US" w:eastAsia="zh-CN"/>
        </w:rPr>
      </w:pPr>
      <w:r>
        <w:rPr>
          <w:rFonts w:hint="eastAsia" w:ascii="方正小标宋简体" w:hAnsi="方正小标宋简体" w:eastAsia="方正小标宋简体" w:cs="方正小标宋简体"/>
          <w:b/>
          <w:bCs/>
          <w:i w:val="0"/>
          <w:caps w:val="0"/>
          <w:color w:val="000000"/>
          <w:spacing w:val="0"/>
          <w:sz w:val="44"/>
          <w:szCs w:val="44"/>
          <w:lang w:val="en-US" w:eastAsia="zh-CN"/>
        </w:rPr>
        <w:t>曲阜市教育和体育局</w:t>
      </w:r>
    </w:p>
    <w:p>
      <w:pPr>
        <w:pStyle w:val="2"/>
        <w:keepNext w:val="0"/>
        <w:keepLines w:val="0"/>
        <w:widowControl/>
        <w:suppressLineNumbers w:val="0"/>
        <w:spacing w:before="0" w:beforeAutospacing="0" w:after="0" w:afterAutospacing="0" w:line="420" w:lineRule="atLeast"/>
        <w:ind w:right="0"/>
        <w:jc w:val="center"/>
        <w:rPr>
          <w:rFonts w:hint="eastAsia" w:ascii="方正小标宋简体" w:hAnsi="方正小标宋简体" w:eastAsia="方正小标宋简体" w:cs="方正小标宋简体"/>
          <w:b/>
          <w:bCs/>
          <w:i w:val="0"/>
          <w:caps w:val="0"/>
          <w:color w:val="000000"/>
          <w:spacing w:val="0"/>
          <w:sz w:val="44"/>
          <w:szCs w:val="44"/>
          <w:lang w:val="en-US" w:eastAsia="zh-CN"/>
        </w:rPr>
      </w:pPr>
      <w:r>
        <w:rPr>
          <w:rFonts w:hint="eastAsia" w:ascii="方正小标宋简体" w:hAnsi="方正小标宋简体" w:eastAsia="方正小标宋简体" w:cs="方正小标宋简体"/>
          <w:b/>
          <w:bCs/>
          <w:i w:val="0"/>
          <w:caps w:val="0"/>
          <w:color w:val="000000"/>
          <w:spacing w:val="0"/>
          <w:sz w:val="44"/>
          <w:szCs w:val="44"/>
          <w:lang w:val="en-US" w:eastAsia="zh-CN"/>
        </w:rPr>
        <w:t>2021年政府信息公开工作年度报告</w:t>
      </w:r>
    </w:p>
    <w:p>
      <w:pPr>
        <w:pStyle w:val="2"/>
        <w:keepNext w:val="0"/>
        <w:keepLines w:val="0"/>
        <w:widowControl/>
        <w:suppressLineNumbers w:val="0"/>
        <w:spacing w:before="0" w:beforeAutospacing="0" w:after="0" w:afterAutospacing="0" w:line="420" w:lineRule="atLeast"/>
        <w:ind w:left="0" w:right="0" w:firstLine="420"/>
        <w:jc w:val="center"/>
        <w:rPr>
          <w:rFonts w:hint="eastAsia" w:ascii="方正小标宋简体" w:hAnsi="方正小标宋简体" w:eastAsia="方正小标宋简体" w:cs="方正小标宋简体"/>
          <w:b/>
          <w:bCs/>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本报告由</w:t>
      </w:r>
      <w:r>
        <w:rPr>
          <w:rFonts w:hint="eastAsia" w:ascii="Times New Roman" w:hAnsi="Times New Roman" w:eastAsia="仿宋_GB2312" w:cs="Times New Roman"/>
          <w:b/>
          <w:bCs/>
          <w:sz w:val="32"/>
          <w:szCs w:val="32"/>
          <w:lang w:val="en-US" w:eastAsia="zh-CN"/>
        </w:rPr>
        <w:t>曲阜市教育和体育局</w:t>
      </w:r>
      <w:r>
        <w:rPr>
          <w:rFonts w:hint="default" w:ascii="Times New Roman" w:hAnsi="Times New Roman" w:eastAsia="仿宋_GB2312" w:cs="Times New Roman"/>
          <w:b/>
          <w:bCs/>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本报告所列数据的统计期限自2021年1月1日起至2021年12月31日止。本报告电子版可在“中国·曲阜”政府门户网站（www.qufu.gov.cn）查阅或下载。如对本报告有疑问，请与</w:t>
      </w:r>
      <w:r>
        <w:rPr>
          <w:rFonts w:hint="eastAsia" w:ascii="Times New Roman" w:hAnsi="Times New Roman" w:eastAsia="仿宋_GB2312" w:cs="Times New Roman"/>
          <w:b/>
          <w:bCs/>
          <w:sz w:val="32"/>
          <w:szCs w:val="32"/>
          <w:lang w:val="en-US" w:eastAsia="zh-CN"/>
        </w:rPr>
        <w:t>曲阜市教育和体育局</w:t>
      </w:r>
      <w:r>
        <w:rPr>
          <w:rFonts w:hint="default" w:ascii="Times New Roman" w:hAnsi="Times New Roman" w:eastAsia="仿宋_GB2312" w:cs="Times New Roman"/>
          <w:b/>
          <w:bCs/>
          <w:sz w:val="32"/>
          <w:szCs w:val="32"/>
        </w:rPr>
        <w:t>联系（地址：</w:t>
      </w:r>
      <w:r>
        <w:rPr>
          <w:rFonts w:hint="eastAsia" w:ascii="Times New Roman" w:hAnsi="Times New Roman" w:eastAsia="仿宋_GB2312" w:cs="Times New Roman"/>
          <w:b/>
          <w:bCs/>
          <w:sz w:val="32"/>
          <w:szCs w:val="32"/>
          <w:lang w:val="en-US" w:eastAsia="zh-CN"/>
        </w:rPr>
        <w:t>曲阜市裕隆路116号</w:t>
      </w:r>
      <w:r>
        <w:rPr>
          <w:rFonts w:hint="default" w:ascii="Times New Roman" w:hAnsi="Times New Roman" w:eastAsia="仿宋_GB2312" w:cs="Times New Roman"/>
          <w:b/>
          <w:bCs/>
          <w:sz w:val="32"/>
          <w:szCs w:val="32"/>
        </w:rPr>
        <w:t>，联系电话：0537-</w:t>
      </w:r>
      <w:r>
        <w:rPr>
          <w:rFonts w:hint="eastAsia" w:ascii="Times New Roman" w:hAnsi="Times New Roman" w:eastAsia="仿宋_GB2312" w:cs="Times New Roman"/>
          <w:b/>
          <w:bCs/>
          <w:sz w:val="32"/>
          <w:szCs w:val="32"/>
          <w:lang w:val="en-US" w:eastAsia="zh-CN"/>
        </w:rPr>
        <w:t>4442677</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年度，</w:t>
      </w:r>
      <w:r>
        <w:rPr>
          <w:rFonts w:hint="eastAsia" w:ascii="Times New Roman" w:hAnsi="Times New Roman" w:eastAsia="仿宋_GB2312" w:cs="Times New Roman"/>
          <w:b/>
          <w:bCs/>
          <w:sz w:val="32"/>
          <w:szCs w:val="32"/>
          <w:lang w:val="en-US" w:eastAsia="zh-CN"/>
        </w:rPr>
        <w:t>曲阜市</w:t>
      </w:r>
      <w:r>
        <w:rPr>
          <w:rFonts w:hint="default" w:ascii="Times New Roman" w:hAnsi="Times New Roman" w:eastAsia="仿宋_GB2312" w:cs="Times New Roman"/>
          <w:b/>
          <w:bCs/>
          <w:sz w:val="32"/>
          <w:szCs w:val="32"/>
        </w:rPr>
        <w:t>教育和体育局认真贯彻执行《中华人民共和国政府信息公开条例》要求和</w:t>
      </w:r>
      <w:r>
        <w:rPr>
          <w:rFonts w:hint="eastAsia" w:ascii="Times New Roman" w:hAnsi="Times New Roman" w:eastAsia="仿宋_GB2312" w:cs="Times New Roman"/>
          <w:b/>
          <w:bCs/>
          <w:sz w:val="32"/>
          <w:szCs w:val="32"/>
          <w:lang w:val="en-US" w:eastAsia="zh-CN"/>
        </w:rPr>
        <w:t>各级</w:t>
      </w:r>
      <w:r>
        <w:rPr>
          <w:rFonts w:hint="default" w:ascii="Times New Roman" w:hAnsi="Times New Roman" w:eastAsia="仿宋_GB2312" w:cs="Times New Roman"/>
          <w:b/>
          <w:bCs/>
          <w:sz w:val="32"/>
          <w:szCs w:val="32"/>
        </w:rPr>
        <w:t>有关政府信息公开文件精神，着力加强政府信息公开工作的组织领导，完善制度建设，不断创新公开形式、扩展公开内容、丰富公开载体，促进了</w:t>
      </w:r>
      <w:r>
        <w:rPr>
          <w:rFonts w:hint="eastAsia" w:ascii="Times New Roman" w:hAnsi="Times New Roman" w:eastAsia="仿宋_GB2312" w:cs="Times New Roman"/>
          <w:b/>
          <w:bCs/>
          <w:sz w:val="32"/>
          <w:szCs w:val="32"/>
          <w:lang w:val="en-US" w:eastAsia="zh-CN"/>
        </w:rPr>
        <w:t>曲阜市</w:t>
      </w:r>
      <w:r>
        <w:rPr>
          <w:rFonts w:hint="default" w:ascii="Times New Roman" w:hAnsi="Times New Roman" w:eastAsia="仿宋_GB2312" w:cs="Times New Roman"/>
          <w:b/>
          <w:bCs/>
          <w:sz w:val="32"/>
          <w:szCs w:val="32"/>
        </w:rPr>
        <w:t>教育和体育局政府信息公开工作快速健康发展。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我局紧紧围绕保障教育公平和提升教育质量，认真贯彻落实国家、省、市对政府信息公开工作的要求，把政府信息公开作为一项重要工作来抓，及时更新、发布群众普遍关心的各项教育、体育工作信息，不断提高教育领域透明度。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年，曲阜市教育和体育局通过各类媒体平台发布信息共计</w:t>
      </w:r>
      <w:r>
        <w:rPr>
          <w:rFonts w:hint="eastAsia" w:ascii="Times New Roman" w:hAnsi="Times New Roman" w:eastAsia="仿宋_GB2312" w:cs="Times New Roman"/>
          <w:b/>
          <w:bCs/>
          <w:color w:val="auto"/>
          <w:sz w:val="32"/>
          <w:szCs w:val="32"/>
          <w:lang w:val="en-US" w:eastAsia="zh-CN"/>
        </w:rPr>
        <w:t>597</w:t>
      </w:r>
      <w:r>
        <w:rPr>
          <w:rFonts w:hint="default" w:ascii="Times New Roman" w:hAnsi="Times New Roman" w:eastAsia="仿宋_GB2312" w:cs="Times New Roman"/>
          <w:b/>
          <w:bCs/>
          <w:sz w:val="32"/>
          <w:szCs w:val="32"/>
        </w:rPr>
        <w:t>条，其中通过曲阜市门户网站政务公开栏目主动公开各类政府信息</w:t>
      </w:r>
      <w:r>
        <w:rPr>
          <w:rFonts w:hint="eastAsia" w:ascii="Times New Roman" w:hAnsi="Times New Roman" w:eastAsia="仿宋_GB2312" w:cs="Times New Roman"/>
          <w:b/>
          <w:bCs/>
          <w:sz w:val="32"/>
          <w:szCs w:val="32"/>
          <w:lang w:val="en-US" w:eastAsia="zh-CN"/>
        </w:rPr>
        <w:t>188</w:t>
      </w:r>
      <w:r>
        <w:rPr>
          <w:rFonts w:hint="default" w:ascii="Times New Roman" w:hAnsi="Times New Roman" w:eastAsia="仿宋_GB2312" w:cs="Times New Roman"/>
          <w:b/>
          <w:bCs/>
          <w:sz w:val="32"/>
          <w:szCs w:val="32"/>
        </w:rPr>
        <w:t>条；通过网站子点发布各类信息</w:t>
      </w:r>
      <w:r>
        <w:rPr>
          <w:rFonts w:hint="eastAsia" w:ascii="Times New Roman" w:hAnsi="Times New Roman" w:eastAsia="仿宋_GB2312" w:cs="Times New Roman"/>
          <w:b/>
          <w:bCs/>
          <w:sz w:val="32"/>
          <w:szCs w:val="32"/>
          <w:lang w:val="en-US" w:eastAsia="zh-CN"/>
        </w:rPr>
        <w:t>209</w:t>
      </w:r>
      <w:r>
        <w:rPr>
          <w:rFonts w:hint="default" w:ascii="Times New Roman" w:hAnsi="Times New Roman" w:eastAsia="仿宋_GB2312" w:cs="Times New Roman"/>
          <w:b/>
          <w:bCs/>
          <w:sz w:val="32"/>
          <w:szCs w:val="32"/>
        </w:rPr>
        <w:t>条；通过微信公众号“曲阜教育”发布信息</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00</w:t>
      </w:r>
      <w:r>
        <w:rPr>
          <w:rFonts w:hint="default" w:ascii="Times New Roman" w:hAnsi="Times New Roman" w:eastAsia="仿宋_GB2312" w:cs="Times New Roman"/>
          <w:b/>
          <w:bCs/>
          <w:sz w:val="32"/>
          <w:szCs w:val="32"/>
        </w:rPr>
        <w:t>条。</w:t>
      </w:r>
    </w:p>
    <w:p>
      <w:pPr>
        <w:pStyle w:val="2"/>
        <w:keepNext w:val="0"/>
        <w:keepLines w:val="0"/>
        <w:widowControl/>
        <w:suppressLineNumbers w:val="0"/>
        <w:spacing w:before="0" w:beforeAutospacing="0" w:after="0" w:afterAutospacing="0" w:line="420" w:lineRule="atLeast"/>
        <w:ind w:left="0" w:right="0" w:firstLine="0"/>
        <w:rPr>
          <w:rFonts w:hint="default" w:ascii="Times New Roman" w:hAnsi="Times New Roman" w:eastAsia="仿宋_GB2312" w:cs="Times New Roman"/>
          <w:b/>
          <w:bCs/>
          <w:i w:val="0"/>
          <w:caps w:val="0"/>
          <w:color w:val="000000"/>
          <w:spacing w:val="0"/>
          <w:sz w:val="32"/>
          <w:szCs w:val="32"/>
        </w:rPr>
      </w:pPr>
      <w:r>
        <w:rPr>
          <w:rFonts w:hint="default" w:ascii="Times New Roman" w:hAnsi="Times New Roman" w:eastAsia="仿宋_GB2312" w:cs="Times New Roman"/>
          <w:b/>
          <w:bCs/>
          <w:sz w:val="32"/>
          <w:szCs w:val="32"/>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在</w:t>
      </w:r>
      <w:r>
        <w:rPr>
          <w:rFonts w:hint="default" w:ascii="Times New Roman" w:hAnsi="Times New Roman" w:eastAsia="仿宋_GB2312" w:cs="Times New Roman"/>
          <w:b/>
          <w:bCs/>
          <w:sz w:val="32"/>
          <w:szCs w:val="32"/>
        </w:rPr>
        <w:t>公开内容上，在政府门户网站主动公开各类政府信息</w:t>
      </w:r>
      <w:r>
        <w:rPr>
          <w:rFonts w:hint="eastAsia" w:ascii="Times New Roman" w:hAnsi="Times New Roman" w:eastAsia="仿宋_GB2312" w:cs="Times New Roman"/>
          <w:b/>
          <w:bCs/>
          <w:sz w:val="32"/>
          <w:szCs w:val="32"/>
          <w:lang w:val="en-US" w:eastAsia="zh-CN"/>
        </w:rPr>
        <w:t>188</w:t>
      </w:r>
      <w:r>
        <w:rPr>
          <w:rFonts w:hint="default" w:ascii="Times New Roman" w:hAnsi="Times New Roman" w:eastAsia="仿宋_GB2312" w:cs="Times New Roman"/>
          <w:b/>
          <w:bCs/>
          <w:sz w:val="32"/>
          <w:szCs w:val="32"/>
        </w:rPr>
        <w:t>条，其中</w:t>
      </w:r>
      <w:r>
        <w:rPr>
          <w:rFonts w:hint="eastAsia" w:ascii="Times New Roman" w:hAnsi="Times New Roman" w:eastAsia="仿宋_GB2312" w:cs="Times New Roman"/>
          <w:b/>
          <w:bCs/>
          <w:sz w:val="32"/>
          <w:szCs w:val="32"/>
          <w:lang w:val="en-US" w:eastAsia="zh-CN"/>
        </w:rPr>
        <w:t>机构职能3</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政策法规</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部门文件7</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财政信息</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条；重点民生（教育）领域信息</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条；行政执法信息</w:t>
      </w:r>
      <w:r>
        <w:rPr>
          <w:rFonts w:hint="eastAsia" w:ascii="Times New Roman" w:hAnsi="Times New Roman" w:eastAsia="仿宋_GB2312" w:cs="Times New Roman"/>
          <w:b/>
          <w:bCs/>
          <w:sz w:val="32"/>
          <w:szCs w:val="32"/>
          <w:lang w:val="en-US" w:eastAsia="zh-CN"/>
        </w:rPr>
        <w:t>40</w:t>
      </w:r>
      <w:r>
        <w:rPr>
          <w:rFonts w:hint="default" w:ascii="Times New Roman" w:hAnsi="Times New Roman" w:eastAsia="仿宋_GB2312" w:cs="Times New Roman"/>
          <w:b/>
          <w:bCs/>
          <w:sz w:val="32"/>
          <w:szCs w:val="32"/>
          <w:lang w:val="en-US" w:eastAsia="zh-CN"/>
        </w:rPr>
        <w:t>条；“双随机一公开”监管信息</w:t>
      </w:r>
      <w:r>
        <w:rPr>
          <w:rFonts w:hint="eastAsia"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sz w:val="32"/>
          <w:szCs w:val="32"/>
          <w:lang w:val="en-US" w:eastAsia="zh-CN"/>
        </w:rPr>
        <w:t>条；</w:t>
      </w:r>
      <w:r>
        <w:rPr>
          <w:rFonts w:hint="eastAsia" w:ascii="Times New Roman" w:hAnsi="Times New Roman" w:eastAsia="仿宋_GB2312" w:cs="Times New Roman"/>
          <w:b/>
          <w:bCs/>
          <w:sz w:val="32"/>
          <w:szCs w:val="32"/>
          <w:lang w:val="en-US" w:eastAsia="zh-CN"/>
        </w:rPr>
        <w:t>组织管理信息3条；政务公开专栏教育卫生栏目，学生、教师管理信息共计93条；其他信息8条</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drawing>
          <wp:anchor distT="0" distB="0" distL="114300" distR="114300" simplePos="0" relativeHeight="251659264" behindDoc="0" locked="0" layoutInCell="1" allowOverlap="1">
            <wp:simplePos x="0" y="0"/>
            <wp:positionH relativeFrom="column">
              <wp:posOffset>273050</wp:posOffset>
            </wp:positionH>
            <wp:positionV relativeFrom="paragraph">
              <wp:posOffset>163830</wp:posOffset>
            </wp:positionV>
            <wp:extent cx="5080000" cy="381000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jc w:val="center"/>
        <w:rPr>
          <w:rFonts w:hint="default" w:eastAsia="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）依申请公开</w:t>
      </w:r>
      <w:r>
        <w:rPr>
          <w:rFonts w:hint="eastAsia" w:ascii="Times New Roman" w:hAnsi="Times New Roman" w:eastAsia="仿宋_GB2312" w:cs="Times New Roman"/>
          <w:b/>
          <w:bCs/>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1、收到和处理政府信息公开申请情况。在编制的《曲阜市教育和体育局政府信息公开指南》中，对依申请公开工作的程序、申请方式、答复方式、答复时限等做了详细规定。20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年，共收到政府信息公开申请</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内容涉及公开全市中小学校名录、曲阜一中、曲阜鲁韵学校信息，我局均在规定时限内回复</w:t>
      </w:r>
      <w:r>
        <w:rPr>
          <w:rFonts w:hint="default" w:ascii="Times New Roman" w:hAnsi="Times New Roman" w:eastAsia="仿宋_GB2312"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2、收费减免情况。根据财政部、国家发展改革委联合印发的《关于清理规范一批行政事业性收费有关政策的通知》规定，本年度本局依申请公开政府信息未向申请人收取任何费用。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3、政府信息公开行政复议、行政诉讼情况。本年度，未收到以政府信息公开为由提起的行政复议和行政诉讼。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）政府信息管理</w:t>
      </w:r>
      <w:r>
        <w:rPr>
          <w:rFonts w:hint="eastAsia" w:ascii="Times New Roman" w:hAnsi="Times New Roman" w:eastAsia="仿宋_GB2312" w:cs="Times New Roman"/>
          <w:b/>
          <w:bCs/>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严格</w:t>
      </w:r>
      <w:r>
        <w:rPr>
          <w:rFonts w:hint="eastAsia" w:ascii="Times New Roman" w:hAnsi="Times New Roman" w:eastAsia="仿宋_GB2312" w:cs="Times New Roman"/>
          <w:b/>
          <w:bCs/>
          <w:sz w:val="32"/>
          <w:szCs w:val="32"/>
          <w:lang w:val="en-US" w:eastAsia="zh-CN"/>
        </w:rPr>
        <w:t>按照省市各级政务公开工作要点，结合教育实际制定实施方案，压实主体责任，明确任务分工，对照工作要点逐条逐项提出要求、细化举措、列明进度，做好全面统筹谋划。根据修订后的《条例》精神，严把流程时效关，及时规范公开各类政府信息，确保公开透明。严格执行保密审查机制、信息发布审核机制、依申请公开会商机制，全面落实监督岗位责任，督促各部门不断提高工作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政府信息公开</w:t>
      </w:r>
      <w:r>
        <w:rPr>
          <w:rFonts w:hint="default" w:ascii="Times New Roman" w:hAnsi="Times New Roman" w:eastAsia="仿宋_GB2312" w:cs="Times New Roman"/>
          <w:b/>
          <w:bCs/>
          <w:sz w:val="32"/>
          <w:szCs w:val="32"/>
        </w:rPr>
        <w:t>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市教育和体育局办公室是本机关的政府信息公开工作机构，现有兼职工作人员3人，其中负责受理信息公开申请的兼职工作人员1人，负责网站子点新闻发布、新媒体日常内容保障的兼职工作人员1人，负责政务信息公开兼职工作人员1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结合教体系统实际工作，</w:t>
      </w:r>
      <w:r>
        <w:rPr>
          <w:rFonts w:hint="eastAsia" w:ascii="Times New Roman" w:hAnsi="Times New Roman" w:eastAsia="仿宋_GB2312" w:cs="Times New Roman"/>
          <w:b/>
          <w:bCs/>
          <w:sz w:val="32"/>
          <w:szCs w:val="32"/>
          <w:lang w:val="en-US" w:eastAsia="zh-CN"/>
        </w:rPr>
        <w:t>市</w:t>
      </w:r>
      <w:r>
        <w:rPr>
          <w:rFonts w:hint="default" w:ascii="Times New Roman" w:hAnsi="Times New Roman" w:eastAsia="仿宋_GB2312" w:cs="Times New Roman"/>
          <w:b/>
          <w:bCs/>
          <w:sz w:val="32"/>
          <w:szCs w:val="32"/>
        </w:rPr>
        <w:t>教育和体育局对包括《政务信息依申请公开工作流程细则》等在内的政务公开制度进行了修改完善，拟定了年度政府信息公开工作方案和年度工作计划。完善依申请公开、限时公开、申请受理、考核监督、保密检查、社会评议、责任追究等工作机制，进一步规范工作流程和工作标准，确保政府信息公开工作安全、有效、有序进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方正仿宋简体" w:eastAsia="方正仿宋简体"/>
                <w:b/>
                <w:sz w:val="24"/>
                <w:szCs w:val="24"/>
                <w:lang w:val="en-US" w:eastAsia="zh-CN"/>
              </w:rPr>
            </w:pPr>
            <w:r>
              <w:rPr>
                <w:rFonts w:hint="eastAsia" w:ascii="方正仿宋简体" w:eastAsia="方正仿宋简体"/>
                <w:b/>
                <w:sz w:val="24"/>
                <w:szCs w:val="24"/>
                <w:lang w:val="en-US" w:eastAsia="zh-CN"/>
              </w:rPr>
              <w:t>138.2923</w:t>
            </w:r>
            <w:bookmarkStart w:id="0" w:name="_GoBack"/>
            <w:bookmarkEnd w:id="0"/>
          </w:p>
        </w:tc>
      </w:tr>
    </w:tbl>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仿宋_GB2312" w:cs="Times New Roman"/>
          <w:b/>
          <w:bCs/>
          <w:i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cs="Calibri"/>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cs="Calibri"/>
                <w:b/>
                <w:sz w:val="21"/>
                <w:szCs w:val="21"/>
                <w:lang w:val="en-US" w:eastAsia="zh-CN" w:bidi="ar"/>
              </w:rPr>
              <w:t>0</w:t>
            </w:r>
          </w:p>
        </w:tc>
      </w:tr>
    </w:tbl>
    <w:p>
      <w:pPr>
        <w:pStyle w:val="2"/>
        <w:keepNext w:val="0"/>
        <w:keepLines w:val="0"/>
        <w:widowControl/>
        <w:suppressLineNumbers w:val="0"/>
        <w:spacing w:before="0" w:beforeAutospacing="0" w:after="0" w:afterAutospacing="0" w:line="420" w:lineRule="atLeast"/>
        <w:ind w:right="0"/>
        <w:jc w:val="left"/>
        <w:rPr>
          <w:rFonts w:hint="default" w:ascii="Times New Roman" w:hAnsi="Times New Roman" w:eastAsia="仿宋_GB2312" w:cs="Times New Roman"/>
          <w:b/>
          <w:bCs/>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_GB2312" w:cs="Times New Roman"/>
          <w:b/>
          <w:bCs/>
          <w:i w:val="0"/>
          <w:caps w:val="0"/>
          <w:color w:val="000000"/>
          <w:spacing w:val="0"/>
          <w:sz w:val="32"/>
          <w:szCs w:val="32"/>
        </w:rPr>
      </w:pPr>
      <w:r>
        <w:rPr>
          <w:rFonts w:hint="eastAsia" w:ascii="黑体" w:hAnsi="黑体" w:eastAsia="黑体" w:cs="黑体"/>
          <w:b/>
          <w:bCs/>
          <w:i w:val="0"/>
          <w:caps w:val="0"/>
          <w:color w:val="000000"/>
          <w:spacing w:val="0"/>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_GB2312" w:cs="Times New Roman"/>
          <w:b/>
          <w:bCs/>
          <w:i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一年来</w:t>
      </w:r>
      <w:r>
        <w:rPr>
          <w:rFonts w:hint="default" w:ascii="Times New Roman" w:hAnsi="Times New Roman" w:eastAsia="仿宋_GB2312" w:cs="Times New Roman"/>
          <w:b/>
          <w:bCs/>
          <w:sz w:val="32"/>
          <w:szCs w:val="32"/>
        </w:rPr>
        <w:t>，市教体局信息公开工作水平得到了一定的提升，但也存在不足，主要表现在：在畅通回应群众关切的问题方面，回应渠道不够丰富，信息公开的覆盖面不够广泛，存在一定程度的信息传播死角问题。对教体系统信息数据进行通俗易懂而又及时、全面的分析解读上还不够细致。202</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年，我们将继续强化措施，不断开拓创新，做好政府信息公开工作。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一是提升全局对政务公开工作的认识，强化政务公开意识，使政务公开与业务工作紧密关联</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二是进一步梳理政务公开事项，明确各科室政务公开内容，确保信息来源明确、传递迅速</w:t>
      </w:r>
      <w:r>
        <w:rPr>
          <w:rFonts w:hint="eastAsia"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三是加强工作人员培训，强化责任意识，严明保密纪律，提升信息质量，推动我局服务型机关建设再上新台阶。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（一）建议提案结果办理情况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规范</w:t>
      </w:r>
      <w:r>
        <w:rPr>
          <w:rFonts w:hint="default" w:ascii="Times New Roman" w:hAnsi="Times New Roman" w:eastAsia="仿宋_GB2312" w:cs="Times New Roman"/>
          <w:b/>
          <w:bCs/>
          <w:sz w:val="32"/>
          <w:szCs w:val="32"/>
        </w:rPr>
        <w:t>人大代表建议、政协委员提案办理</w:t>
      </w:r>
      <w:r>
        <w:rPr>
          <w:rFonts w:hint="default" w:ascii="Times New Roman" w:hAnsi="Times New Roman" w:eastAsia="仿宋_GB2312" w:cs="Times New Roman"/>
          <w:b/>
          <w:bCs/>
          <w:sz w:val="32"/>
          <w:szCs w:val="32"/>
          <w:lang w:val="en-US" w:eastAsia="zh-CN"/>
        </w:rPr>
        <w:t>结果公开。主</w:t>
      </w:r>
      <w:r>
        <w:rPr>
          <w:rFonts w:hint="default" w:ascii="Times New Roman" w:hAnsi="Times New Roman" w:eastAsia="仿宋_GB2312" w:cs="Times New Roman"/>
          <w:b/>
          <w:bCs/>
          <w:sz w:val="32"/>
          <w:szCs w:val="32"/>
        </w:rPr>
        <w:t>动加强与人大代表和政协委员的沟通交流，提高服务意识，自觉接受人大依法监督和政协民主监督</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年共办理人大</w:t>
      </w:r>
      <w:r>
        <w:rPr>
          <w:rFonts w:hint="default" w:ascii="Times New Roman" w:hAnsi="Times New Roman" w:eastAsia="仿宋_GB2312" w:cs="Times New Roman"/>
          <w:b/>
          <w:bCs/>
          <w:sz w:val="32"/>
          <w:szCs w:val="32"/>
          <w:lang w:val="en-US" w:eastAsia="zh-CN"/>
        </w:rPr>
        <w:t>建议</w:t>
      </w:r>
      <w:r>
        <w:rPr>
          <w:rFonts w:hint="default" w:ascii="Times New Roman" w:hAnsi="Times New Roman" w:eastAsia="仿宋_GB2312" w:cs="Times New Roman"/>
          <w:b/>
          <w:bCs/>
          <w:sz w:val="32"/>
          <w:szCs w:val="32"/>
        </w:rPr>
        <w:t>、政协提案</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件，内容涉及优化教育资源、学校规划建设、</w:t>
      </w:r>
      <w:r>
        <w:rPr>
          <w:rFonts w:hint="eastAsia" w:ascii="Times New Roman" w:hAnsi="Times New Roman" w:eastAsia="仿宋_GB2312" w:cs="Times New Roman"/>
          <w:b/>
          <w:bCs/>
          <w:sz w:val="32"/>
          <w:szCs w:val="32"/>
          <w:lang w:val="en-US" w:eastAsia="zh-CN"/>
        </w:rPr>
        <w:t>校园安全</w:t>
      </w:r>
      <w:r>
        <w:rPr>
          <w:rFonts w:hint="default" w:ascii="Times New Roman" w:hAnsi="Times New Roman" w:eastAsia="仿宋_GB2312" w:cs="Times New Roman"/>
          <w:b/>
          <w:bCs/>
          <w:sz w:val="32"/>
          <w:szCs w:val="32"/>
        </w:rPr>
        <w:t>等社会关注的焦点、热点、难点问题</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我局</w:t>
      </w:r>
      <w:r>
        <w:rPr>
          <w:rFonts w:hint="default" w:ascii="Times New Roman" w:hAnsi="Times New Roman" w:eastAsia="仿宋_GB2312" w:cs="Times New Roman"/>
          <w:b/>
          <w:bCs/>
          <w:sz w:val="32"/>
          <w:szCs w:val="32"/>
        </w:rPr>
        <w:t>及时</w:t>
      </w:r>
      <w:r>
        <w:rPr>
          <w:rFonts w:hint="eastAsia" w:ascii="Times New Roman" w:hAnsi="Times New Roman" w:eastAsia="仿宋_GB2312" w:cs="Times New Roman"/>
          <w:b/>
          <w:bCs/>
          <w:sz w:val="32"/>
          <w:szCs w:val="32"/>
          <w:lang w:val="en-US" w:eastAsia="zh-CN"/>
        </w:rPr>
        <w:t>作出回复并</w:t>
      </w:r>
      <w:r>
        <w:rPr>
          <w:rFonts w:hint="default" w:ascii="Times New Roman" w:hAnsi="Times New Roman" w:eastAsia="仿宋_GB2312" w:cs="Times New Roman"/>
          <w:b/>
          <w:bCs/>
          <w:sz w:val="32"/>
          <w:szCs w:val="32"/>
        </w:rPr>
        <w:t>在建议提案办理栏目公开答复意见。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中小学开展信息公开工作情况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指导</w:t>
      </w:r>
      <w:r>
        <w:rPr>
          <w:rFonts w:hint="eastAsia" w:ascii="Times New Roman" w:hAnsi="Times New Roman" w:eastAsia="仿宋_GB2312" w:cs="Times New Roman"/>
          <w:b/>
          <w:bCs/>
          <w:sz w:val="32"/>
          <w:szCs w:val="32"/>
          <w:lang w:val="en-US" w:eastAsia="zh-CN"/>
        </w:rPr>
        <w:t>各学校</w:t>
      </w:r>
      <w:r>
        <w:rPr>
          <w:rFonts w:hint="default" w:ascii="Times New Roman" w:hAnsi="Times New Roman" w:eastAsia="仿宋_GB2312" w:cs="Times New Roman"/>
          <w:b/>
          <w:bCs/>
          <w:sz w:val="32"/>
          <w:szCs w:val="32"/>
        </w:rPr>
        <w:t>充分利用学校网站、宣传栏、家委会、微信群、教代会等形式，重点公开</w:t>
      </w:r>
      <w:r>
        <w:rPr>
          <w:rFonts w:hint="eastAsia" w:ascii="Times New Roman" w:hAnsi="Times New Roman" w:eastAsia="仿宋_GB2312" w:cs="Times New Roman"/>
          <w:b/>
          <w:bCs/>
          <w:sz w:val="32"/>
          <w:szCs w:val="32"/>
          <w:lang w:val="en-US" w:eastAsia="zh-CN"/>
        </w:rPr>
        <w:t>招生、收费、资助政策等</w:t>
      </w:r>
      <w:r>
        <w:rPr>
          <w:rFonts w:hint="default" w:ascii="Times New Roman" w:hAnsi="Times New Roman" w:eastAsia="仿宋_GB2312" w:cs="Times New Roman"/>
          <w:b/>
          <w:bCs/>
          <w:sz w:val="32"/>
          <w:szCs w:val="32"/>
        </w:rPr>
        <w:t>家长普遍关心的重要信息</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持续开展“家长开放日”活动，</w:t>
      </w:r>
      <w:r>
        <w:rPr>
          <w:rFonts w:hint="default" w:ascii="Times New Roman" w:hAnsi="Times New Roman" w:eastAsia="仿宋_GB2312" w:cs="Times New Roman"/>
          <w:b/>
          <w:bCs/>
          <w:sz w:val="32"/>
          <w:szCs w:val="32"/>
        </w:rPr>
        <w:t>全面打造“阳光教育”，保障公民、法人和其他组织依法获取学校信息</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局机关定期</w:t>
      </w:r>
      <w:r>
        <w:rPr>
          <w:rFonts w:hint="default" w:ascii="Times New Roman" w:hAnsi="Times New Roman" w:eastAsia="仿宋_GB2312" w:cs="Times New Roman"/>
          <w:b/>
          <w:bCs/>
          <w:sz w:val="32"/>
          <w:szCs w:val="32"/>
        </w:rPr>
        <w:t>对中小学政务公开工作进行梳理，局办公室不定期对所属学校政府网站信息公开工作落实情况进行抽查，将工作开展情况纳入全区中小学目标绩效考核内，确保信息公开及时准确。202</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年度，相关中小学均按要求更新政府网站信息。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）有关数据统计说明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0" w:lineRule="atLeast"/>
        <w:ind w:left="0" w:right="0" w:firstLine="645"/>
        <w:jc w:val="left"/>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本年度报告中所列数据统计期限从2021年1月1日到12月31日止。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rPr>
          <w:rFonts w:hint="default" w:ascii="Times New Roman" w:hAnsi="Times New Roman" w:eastAsia="仿宋_GB2312" w:cs="Times New Roman"/>
          <w:b/>
          <w:bCs/>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B2206"/>
    <w:rsid w:val="01FA5A20"/>
    <w:rsid w:val="033318EE"/>
    <w:rsid w:val="03D61281"/>
    <w:rsid w:val="06BB2206"/>
    <w:rsid w:val="0E0C2009"/>
    <w:rsid w:val="0E215EBB"/>
    <w:rsid w:val="11576FC7"/>
    <w:rsid w:val="14CE2BDB"/>
    <w:rsid w:val="15D618F1"/>
    <w:rsid w:val="191E6141"/>
    <w:rsid w:val="1DA37058"/>
    <w:rsid w:val="31A53DF7"/>
    <w:rsid w:val="31DA4D4A"/>
    <w:rsid w:val="3C6C7F1C"/>
    <w:rsid w:val="3CAA03C9"/>
    <w:rsid w:val="3CB364FA"/>
    <w:rsid w:val="3FC66124"/>
    <w:rsid w:val="4E123D0B"/>
    <w:rsid w:val="536F0305"/>
    <w:rsid w:val="5558206D"/>
    <w:rsid w:val="561E07E4"/>
    <w:rsid w:val="589E78FD"/>
    <w:rsid w:val="5BC45D84"/>
    <w:rsid w:val="63560B6E"/>
    <w:rsid w:val="63E4625B"/>
    <w:rsid w:val="642D5A1F"/>
    <w:rsid w:val="683C4481"/>
    <w:rsid w:val="6C3B6F38"/>
    <w:rsid w:val="76FA30D9"/>
    <w:rsid w:val="78D71718"/>
    <w:rsid w:val="7B7D1AF6"/>
    <w:rsid w:val="7C155AC5"/>
    <w:rsid w:val="7FCB23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曲阜市教体局各平台发布政府信息数据情况表</c:v>
                </c:pt>
              </c:strCache>
            </c:strRef>
          </c:tx>
          <c:spPr>
            <a:solidFill>
              <a:schemeClr val="accent1"/>
            </a:solidFill>
            <a:ln>
              <a:noFill/>
            </a:ln>
            <a:effectLst/>
          </c:spPr>
          <c:invertIfNegative val="0"/>
          <c:dLbls>
            <c:delete val="1"/>
          </c:dLbls>
          <c:cat>
            <c:strRef>
              <c:f>Sheet1!$A$2:$A$4</c:f>
              <c:strCache>
                <c:ptCount val="3"/>
                <c:pt idx="0">
                  <c:v>政务信息公开栏目</c:v>
                </c:pt>
                <c:pt idx="1">
                  <c:v>网站子点</c:v>
                </c:pt>
                <c:pt idx="2">
                  <c:v>政务新媒体</c:v>
                </c:pt>
              </c:strCache>
            </c:strRef>
          </c:cat>
          <c:val>
            <c:numRef>
              <c:f>Sheet1!$B$2:$B$4</c:f>
              <c:numCache>
                <c:formatCode>General</c:formatCode>
                <c:ptCount val="3"/>
                <c:pt idx="0">
                  <c:v>188</c:v>
                </c:pt>
                <c:pt idx="1">
                  <c:v>209</c:v>
                </c:pt>
                <c:pt idx="2">
                  <c:v>200</c:v>
                </c:pt>
              </c:numCache>
            </c:numRef>
          </c:val>
        </c:ser>
        <c:dLbls>
          <c:showLegendKey val="0"/>
          <c:showVal val="0"/>
          <c:showCatName val="0"/>
          <c:showSerName val="0"/>
          <c:showPercent val="0"/>
          <c:showBubbleSize val="0"/>
        </c:dLbls>
        <c:gapWidth val="219"/>
        <c:overlap val="-27"/>
        <c:axId val="408527234"/>
        <c:axId val="641419337"/>
      </c:barChart>
      <c:catAx>
        <c:axId val="4085272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19337"/>
        <c:crosses val="autoZero"/>
        <c:auto val="1"/>
        <c:lblAlgn val="ctr"/>
        <c:lblOffset val="100"/>
        <c:noMultiLvlLbl val="0"/>
      </c:catAx>
      <c:valAx>
        <c:axId val="6414193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52723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市教体局政务信息公开内容</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4">
                  <a:lumMod val="60000"/>
                  <a:lumOff val="40000"/>
                </a:schemeClr>
              </a:solidFill>
              <a:ln w="25400">
                <a:solidFill>
                  <a:schemeClr val="lt1"/>
                </a:solidFill>
              </a:ln>
              <a:effectLst/>
              <a:scene3d>
                <a:camera prst="orthographicFront"/>
                <a:lightRig rig="threePt" dir="t"/>
              </a:scene3d>
              <a:sp3d contourW="25400"/>
            </c:spPr>
          </c:dPt>
          <c:dPt>
            <c:idx val="7"/>
            <c:bubble3D val="0"/>
            <c:spPr>
              <a:solidFill>
                <a:schemeClr val="accent3">
                  <a:lumMod val="60000"/>
                  <a:lumOff val="40000"/>
                </a:schemeClr>
              </a:solidFill>
              <a:ln w="25400">
                <a:solidFill>
                  <a:schemeClr val="lt1"/>
                </a:solidFill>
              </a:ln>
              <a:effectLst/>
              <a:scene3d>
                <a:camera prst="orthographicFront"/>
                <a:lightRig rig="threePt" dir="t"/>
              </a:scene3d>
              <a:sp3d contourW="25400"/>
            </c:spPr>
          </c:dPt>
          <c:dPt>
            <c:idx val="8"/>
            <c:bubble3D val="0"/>
            <c:spPr>
              <a:solidFill>
                <a:schemeClr val="accent2">
                  <a:lumMod val="60000"/>
                  <a:lumOff val="4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Lbls>
            <c:delete val="1"/>
          </c:dLbls>
          <c:cat>
            <c:strRef>
              <c:f>Sheet1!$A$2:$A$11</c:f>
              <c:strCache>
                <c:ptCount val="10"/>
                <c:pt idx="0">
                  <c:v>机构职能</c:v>
                </c:pt>
                <c:pt idx="1">
                  <c:v>政策法规</c:v>
                </c:pt>
                <c:pt idx="2">
                  <c:v>部门文件</c:v>
                </c:pt>
                <c:pt idx="3">
                  <c:v>财政信息</c:v>
                </c:pt>
                <c:pt idx="4">
                  <c:v>重点民生（教育）领域</c:v>
                </c:pt>
                <c:pt idx="5">
                  <c:v>行政执法信息</c:v>
                </c:pt>
                <c:pt idx="6">
                  <c:v>“双随机一公开”监管信息</c:v>
                </c:pt>
                <c:pt idx="7">
                  <c:v>组织管理信息</c:v>
                </c:pt>
                <c:pt idx="8">
                  <c:v>政务公开专栏</c:v>
                </c:pt>
                <c:pt idx="9">
                  <c:v>其他信息</c:v>
                </c:pt>
              </c:strCache>
            </c:strRef>
          </c:cat>
          <c:val>
            <c:numRef>
              <c:f>Sheet1!$B$2:$B$11</c:f>
              <c:numCache>
                <c:formatCode>General</c:formatCode>
                <c:ptCount val="10"/>
                <c:pt idx="0">
                  <c:v>3</c:v>
                </c:pt>
                <c:pt idx="1">
                  <c:v>10</c:v>
                </c:pt>
                <c:pt idx="2">
                  <c:v>7</c:v>
                </c:pt>
                <c:pt idx="3">
                  <c:v>5</c:v>
                </c:pt>
                <c:pt idx="4">
                  <c:v>4</c:v>
                </c:pt>
                <c:pt idx="5">
                  <c:v>40</c:v>
                </c:pt>
                <c:pt idx="6">
                  <c:v>15</c:v>
                </c:pt>
                <c:pt idx="7">
                  <c:v>3</c:v>
                </c:pt>
                <c:pt idx="8">
                  <c:v>93</c:v>
                </c:pt>
                <c:pt idx="9">
                  <c:v>8</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4534</Words>
  <Characters>4749</Characters>
  <Lines>0</Lines>
  <Paragraphs>0</Paragraphs>
  <TotalTime>7</TotalTime>
  <ScaleCrop>false</ScaleCrop>
  <LinksUpToDate>false</LinksUpToDate>
  <CharactersWithSpaces>4752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2021-01-19T06:35:00Z</dcterms:created>
  <dc:creator>卡卡</dc:creator>
  <cp:lastModifiedBy>新有凌曦</cp:lastModifiedBy>
  <dcterms:modified xsi:type="dcterms:W3CDTF">2022-01-18T06:28:00Z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AA439D5A71574F9183656D7D2F552C93</vt:lpwstr>
  </property>
</Properties>
</file>