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曲阜市商务局2019年度政府信息公开工作年度报告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本报告根据《中华人民共和国政府信息公开条例》（国务院令第711号，以下简称《条例》）和《国务院办公厅政府信息与政务公开办公室关于政府信息公开工作年度报告有关事项的通知》（国办公开办函〔2019〕60号）要求，现向社会公布2019年度曲阜市商务局信息公开工作年度报告。本年报包括总体情况、主动公开政府信息情况、收到和处理政府信息公开申请情况、政府信息公开行政复议及行政诉讼情况、建议提案办理情况、年度政府信息管理情况、存在的主要问题及改进情况、其它需要报告的事项八个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本年度报告中所列数据统计期限从2019年1月1日到12月31日止。本年度报告电子版可从“曲阜市人民政府网站”（www.qufu.gov.cn）下载。如对本年度报告有疑问，请与曲阜市商务局办公室联系（地址：曲阜市春秋路1号 7052房间；邮编：273100；电话:0537-4498623；电子邮箱：qfsswj@ji.shandong.cn）。</w:t>
      </w:r>
    </w:p>
    <w:p>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420"/>
        <w:rPr>
          <w:rFonts w:ascii="微软雅黑" w:hAnsi="微软雅黑" w:eastAsia="微软雅黑" w:cs="微软雅黑"/>
          <w:color w:val="333333"/>
        </w:rPr>
      </w:pPr>
      <w:r>
        <w:rPr>
          <w:rFonts w:hint="eastAsia" w:ascii="微软雅黑" w:hAnsi="微软雅黑" w:eastAsia="微软雅黑" w:cs="微软雅黑"/>
          <w:color w:val="333333"/>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420"/>
        <w:rPr>
          <w:rFonts w:hint="eastAsia" w:ascii="微软雅黑" w:hAnsi="微软雅黑" w:eastAsia="微软雅黑" w:cs="微软雅黑"/>
          <w:color w:val="333333"/>
        </w:rPr>
      </w:pPr>
      <w:r>
        <w:rPr>
          <w:rFonts w:hint="eastAsia" w:ascii="微软雅黑" w:hAnsi="微软雅黑" w:eastAsia="微软雅黑" w:cs="微软雅黑"/>
          <w:color w:val="333333"/>
        </w:rPr>
        <w:t>（一）概述</w:t>
      </w:r>
    </w:p>
    <w:p>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420"/>
        <w:rPr>
          <w:rFonts w:hint="eastAsia" w:ascii="微软雅黑" w:hAnsi="微软雅黑" w:eastAsia="微软雅黑" w:cs="微软雅黑"/>
          <w:color w:val="333333"/>
        </w:rPr>
      </w:pPr>
      <w:r>
        <w:rPr>
          <w:rFonts w:hint="eastAsia" w:ascii="微软雅黑" w:hAnsi="微软雅黑" w:eastAsia="微软雅黑" w:cs="微软雅黑"/>
          <w:color w:val="333333"/>
        </w:rPr>
        <w:t>本年度报告根据《中华人民共和国政府信息公开条例》（以下简称《条例》）要求，汇总2019年度曲阜市商务局信息公开编制而成。在以往公开内容的基础上，2019年曲阜市商务局政府信息公开工作坚持“依法公开、求真务实”的原则，严格按照曲阜市政府办公室的要求，在确保不泄密的前提下，进一步公开了局领导的工作分工、各科室工作职责和权限、统计法律法规、新闻动态等多项群众关心的内容。市商务局领导高度重视政府信息公开工作，将推行政府信息公开工作作为建立廉洁、勤政、务实、高效的工作机制摆上重要议事日程。年初召开了专题会议，研究部署政府信息公开工作，按照“谁主管、谁负责”的原则，加强领导，落实责任，形成合力。并及时调整了政府信息公开工作领导小组，认真研究解决政府信息公开工作中出现的新情况、新问题，确保政府信息公开工作有序、健康地推行。</w:t>
      </w:r>
    </w:p>
    <w:p>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420"/>
        <w:rPr>
          <w:rFonts w:hint="eastAsia" w:ascii="微软雅黑" w:hAnsi="微软雅黑" w:eastAsia="微软雅黑" w:cs="微软雅黑"/>
          <w:color w:val="333333"/>
        </w:rPr>
      </w:pPr>
      <w:r>
        <w:rPr>
          <w:rFonts w:hint="eastAsia" w:ascii="微软雅黑" w:hAnsi="微软雅黑" w:eastAsia="微软雅黑" w:cs="微软雅黑"/>
          <w:color w:val="333333"/>
        </w:rPr>
        <w:t>（二）主动公开情况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420"/>
        <w:rPr>
          <w:rFonts w:hint="eastAsia" w:ascii="微软雅黑" w:hAnsi="微软雅黑" w:eastAsia="微软雅黑" w:cs="微软雅黑"/>
          <w:color w:val="333333"/>
        </w:rPr>
      </w:pPr>
      <w:r>
        <w:rPr>
          <w:rFonts w:hint="eastAsia" w:ascii="微软雅黑" w:hAnsi="微软雅黑" w:eastAsia="微软雅黑" w:cs="微软雅黑"/>
          <w:color w:val="333333"/>
        </w:rPr>
        <w:t>本年度我局通过政府网站发布商务信息共计103条。通过曲阜市门户网站政务公开栏目主动公开各类政府信息53条，占比51.5%；通过网站子点发布各类信息50条，占比48.5%。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drawing>
          <wp:inline distT="0" distB="0" distL="114300" distR="114300">
            <wp:extent cx="4752975" cy="2847975"/>
            <wp:effectExtent l="0" t="0" r="9525" b="9525"/>
            <wp:docPr id="1" name="图片 1"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png"/>
                    <pic:cNvPicPr>
                      <a:picLocks noChangeAspect="1"/>
                    </pic:cNvPicPr>
                  </pic:nvPicPr>
                  <pic:blipFill>
                    <a:blip r:embed="rId4"/>
                    <a:stretch>
                      <a:fillRect/>
                    </a:stretch>
                  </pic:blipFill>
                  <pic:spPr>
                    <a:xfrm>
                      <a:off x="0" y="0"/>
                      <a:ext cx="4752975" cy="28479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420"/>
        <w:rPr>
          <w:rFonts w:ascii="微软雅黑" w:hAnsi="微软雅黑" w:eastAsia="微软雅黑" w:cs="微软雅黑"/>
          <w:color w:val="333333"/>
        </w:rPr>
      </w:pPr>
      <w:r>
        <w:rPr>
          <w:rFonts w:hint="eastAsia" w:ascii="微软雅黑" w:hAnsi="微软雅黑" w:eastAsia="微软雅黑" w:cs="微软雅黑"/>
          <w:color w:val="333333"/>
        </w:rPr>
        <w:t>1、基础内容公开情况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420"/>
        <w:rPr>
          <w:rFonts w:hint="eastAsia" w:ascii="微软雅黑" w:hAnsi="微软雅黑" w:eastAsia="微软雅黑" w:cs="微软雅黑"/>
          <w:color w:val="333333"/>
        </w:rPr>
      </w:pPr>
      <w:r>
        <w:rPr>
          <w:rFonts w:hint="eastAsia" w:ascii="微软雅黑" w:hAnsi="微软雅黑" w:eastAsia="微软雅黑" w:cs="微软雅黑"/>
          <w:color w:val="333333"/>
        </w:rPr>
        <w:t>根据信息内容分类，其中动态类信息26条；通知公告类信息4条；要闻推荐类信息20条；行政权力运行公开类信息18条；重点领域信息公开10条；其他组织机构、信息指南等25条。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drawing>
          <wp:inline distT="0" distB="0" distL="114300" distR="114300">
            <wp:extent cx="4743450" cy="2857500"/>
            <wp:effectExtent l="0" t="0" r="0" b="0"/>
            <wp:docPr id="3" name="图片 2" descr="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2.png"/>
                    <pic:cNvPicPr>
                      <a:picLocks noChangeAspect="1"/>
                    </pic:cNvPicPr>
                  </pic:nvPicPr>
                  <pic:blipFill>
                    <a:blip r:embed="rId5"/>
                    <a:stretch>
                      <a:fillRect/>
                    </a:stretch>
                  </pic:blipFill>
                  <pic:spPr>
                    <a:xfrm>
                      <a:off x="0" y="0"/>
                      <a:ext cx="4743450" cy="28575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420"/>
        <w:rPr>
          <w:rFonts w:ascii="微软雅黑" w:hAnsi="微软雅黑" w:eastAsia="微软雅黑" w:cs="微软雅黑"/>
          <w:color w:val="333333"/>
        </w:rPr>
      </w:pPr>
      <w:r>
        <w:rPr>
          <w:rFonts w:hint="eastAsia" w:ascii="微软雅黑" w:hAnsi="微软雅黑" w:eastAsia="微软雅黑" w:cs="微软雅黑"/>
          <w:color w:val="333333"/>
        </w:rPr>
        <w:t>2、重点领域信息公开情况</w:t>
      </w:r>
    </w:p>
    <w:p>
      <w:pPr>
        <w:pStyle w:val="4"/>
        <w:keepNext w:val="0"/>
        <w:keepLines w:val="0"/>
        <w:widowControl/>
        <w:suppressLineNumbers w:val="0"/>
        <w:spacing w:line="450" w:lineRule="atLeast"/>
        <w:ind w:left="0" w:firstLine="420"/>
        <w:rPr>
          <w:rFonts w:ascii="宋体" w:hAnsi="宋体" w:eastAsia="宋体" w:cs="宋体"/>
          <w:color w:val="333333"/>
          <w:sz w:val="27"/>
          <w:szCs w:val="27"/>
        </w:rPr>
      </w:pPr>
      <w:r>
        <w:rPr>
          <w:rFonts w:hint="eastAsia" w:ascii="微软雅黑" w:hAnsi="微软雅黑" w:eastAsia="微软雅黑" w:cs="微软雅黑"/>
          <w:color w:val="333333"/>
          <w:sz w:val="27"/>
          <w:szCs w:val="27"/>
        </w:rPr>
        <w:t>（1）“放管服”改革</w:t>
      </w:r>
    </w:p>
    <w:p>
      <w:pPr>
        <w:pStyle w:val="4"/>
        <w:keepNext w:val="0"/>
        <w:keepLines w:val="0"/>
        <w:widowControl/>
        <w:suppressLineNumbers w:val="0"/>
        <w:spacing w:line="450" w:lineRule="atLeast"/>
        <w:ind w:left="0" w:firstLine="420"/>
        <w:rPr>
          <w:rFonts w:hint="eastAsia" w:ascii="宋体" w:hAnsi="宋体" w:eastAsia="宋体" w:cs="宋体"/>
          <w:color w:val="333333"/>
          <w:sz w:val="27"/>
          <w:szCs w:val="27"/>
        </w:rPr>
      </w:pPr>
      <w:r>
        <w:rPr>
          <w:rFonts w:hint="eastAsia" w:ascii="微软雅黑" w:hAnsi="微软雅黑" w:eastAsia="微软雅黑" w:cs="微软雅黑"/>
          <w:color w:val="333333"/>
          <w:sz w:val="27"/>
          <w:szCs w:val="27"/>
        </w:rPr>
        <w:t>在政府门户网站“双随机一公开”专栏，集中公示了随机抽查事项清单，明确了抽查依据、主体、内容、方式等，并及时公开抽查对象名录库、抽查结果和查处情况。</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420"/>
        <w:rPr>
          <w:rFonts w:hint="eastAsia" w:ascii="微软雅黑" w:hAnsi="微软雅黑" w:eastAsia="微软雅黑" w:cs="微软雅黑"/>
          <w:color w:val="333333"/>
        </w:rPr>
      </w:pPr>
      <w:r>
        <w:rPr>
          <w:rFonts w:hint="eastAsia" w:ascii="微软雅黑" w:hAnsi="微软雅黑" w:eastAsia="微软雅黑" w:cs="微软雅黑"/>
          <w:color w:val="333333"/>
        </w:rPr>
        <w:t>（2）人大代表建议、政协委员提案办理情况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420"/>
        <w:rPr>
          <w:rFonts w:hint="eastAsia" w:ascii="微软雅黑" w:hAnsi="微软雅黑" w:eastAsia="微软雅黑" w:cs="微软雅黑"/>
          <w:color w:val="333333"/>
        </w:rPr>
      </w:pPr>
      <w:r>
        <w:rPr>
          <w:rFonts w:hint="eastAsia" w:ascii="微软雅黑" w:hAnsi="微软雅黑" w:eastAsia="微软雅黑" w:cs="微软雅黑"/>
          <w:color w:val="333333"/>
        </w:rPr>
        <w:t>2019年，办理人大代表建议0件，政协委员提案3件。按照市委市政府要求，建议、提案均于2019年6月底前办理回复。在办理答复后，积极主动开展复查工作，做到让代表委员满意，让群众满意。办理答复及时分别抄送向市人大人事代表工作室、市政府督查室，并做办理结果说明。并对办理结果在市政府网站进行公开。</w:t>
      </w:r>
    </w:p>
    <w:p>
      <w:pPr>
        <w:pStyle w:val="4"/>
        <w:keepNext w:val="0"/>
        <w:keepLines w:val="0"/>
        <w:widowControl/>
        <w:suppressLineNumbers w:val="0"/>
        <w:spacing w:line="450" w:lineRule="atLeast"/>
        <w:ind w:left="0" w:firstLine="420"/>
        <w:rPr>
          <w:rFonts w:hint="eastAsia" w:ascii="宋体" w:hAnsi="宋体" w:eastAsia="宋体" w:cs="宋体"/>
          <w:color w:val="333333"/>
          <w:sz w:val="27"/>
          <w:szCs w:val="27"/>
        </w:rPr>
      </w:pPr>
      <w:r>
        <w:rPr>
          <w:rFonts w:hint="eastAsia" w:ascii="微软雅黑" w:hAnsi="微软雅黑" w:eastAsia="微软雅黑" w:cs="微软雅黑"/>
          <w:color w:val="333333"/>
          <w:sz w:val="27"/>
          <w:szCs w:val="27"/>
        </w:rPr>
        <w:t>（三）依申请公开</w:t>
      </w:r>
    </w:p>
    <w:p>
      <w:pPr>
        <w:pStyle w:val="4"/>
        <w:keepNext w:val="0"/>
        <w:keepLines w:val="0"/>
        <w:widowControl/>
        <w:suppressLineNumbers w:val="0"/>
        <w:spacing w:line="450" w:lineRule="atLeast"/>
        <w:ind w:left="0" w:firstLine="420"/>
        <w:rPr>
          <w:rFonts w:hint="eastAsia" w:ascii="宋体" w:hAnsi="宋体" w:eastAsia="宋体" w:cs="宋体"/>
          <w:color w:val="333333"/>
          <w:sz w:val="27"/>
          <w:szCs w:val="27"/>
        </w:rPr>
      </w:pPr>
      <w:r>
        <w:rPr>
          <w:rFonts w:hint="eastAsia" w:ascii="微软雅黑" w:hAnsi="微软雅黑" w:eastAsia="微软雅黑" w:cs="微软雅黑"/>
          <w:color w:val="333333"/>
          <w:sz w:val="27"/>
          <w:szCs w:val="27"/>
        </w:rPr>
        <w:t>1、收到和处理政府信息公开申请情况。2019年，共收到政府信息公开申请1条，按时答复1条。</w:t>
      </w:r>
    </w:p>
    <w:p>
      <w:pPr>
        <w:pStyle w:val="4"/>
        <w:keepNext w:val="0"/>
        <w:keepLines w:val="0"/>
        <w:widowControl/>
        <w:suppressLineNumbers w:val="0"/>
        <w:spacing w:line="450" w:lineRule="atLeast"/>
        <w:ind w:left="0" w:firstLine="420"/>
        <w:rPr>
          <w:rFonts w:hint="eastAsia" w:ascii="宋体" w:hAnsi="宋体" w:eastAsia="宋体" w:cs="宋体"/>
          <w:color w:val="333333"/>
          <w:sz w:val="27"/>
          <w:szCs w:val="27"/>
        </w:rPr>
      </w:pPr>
      <w:r>
        <w:rPr>
          <w:rFonts w:hint="eastAsia" w:ascii="微软雅黑" w:hAnsi="微软雅黑" w:eastAsia="微软雅黑" w:cs="微软雅黑"/>
          <w:color w:val="333333"/>
          <w:sz w:val="27"/>
          <w:szCs w:val="27"/>
        </w:rPr>
        <w:t>2、收费减免情况。根据财政部、国家发展改革委联合印发的《关于清理规范一批行政事业性收费有关政策的通知》规定，本年度本局依申请公开政府信息未向申请人收取任何费用。</w:t>
      </w:r>
    </w:p>
    <w:p>
      <w:pPr>
        <w:pStyle w:val="4"/>
        <w:keepNext w:val="0"/>
        <w:keepLines w:val="0"/>
        <w:widowControl/>
        <w:suppressLineNumbers w:val="0"/>
        <w:spacing w:line="450" w:lineRule="atLeast"/>
        <w:ind w:left="0" w:firstLine="420"/>
        <w:rPr>
          <w:rFonts w:hint="eastAsia" w:ascii="宋体" w:hAnsi="宋体" w:eastAsia="宋体" w:cs="宋体"/>
          <w:color w:val="333333"/>
          <w:sz w:val="27"/>
          <w:szCs w:val="27"/>
        </w:rPr>
      </w:pPr>
      <w:r>
        <w:rPr>
          <w:rFonts w:hint="eastAsia" w:ascii="微软雅黑" w:hAnsi="微软雅黑" w:eastAsia="微软雅黑" w:cs="微软雅黑"/>
          <w:color w:val="333333"/>
          <w:sz w:val="27"/>
          <w:szCs w:val="27"/>
        </w:rPr>
        <w:t>3、政府信息公开行政复议、行政诉讼情况。本年度，未收到以政府信息公开为由提起的行政复议和行政诉讼。</w:t>
      </w:r>
    </w:p>
    <w:p>
      <w:pPr>
        <w:pStyle w:val="4"/>
        <w:keepNext w:val="0"/>
        <w:keepLines w:val="0"/>
        <w:widowControl/>
        <w:suppressLineNumbers w:val="0"/>
        <w:spacing w:line="450" w:lineRule="atLeast"/>
        <w:ind w:left="0" w:firstLine="420"/>
        <w:rPr>
          <w:rFonts w:hint="eastAsia" w:ascii="宋体" w:hAnsi="宋体" w:eastAsia="宋体" w:cs="宋体"/>
          <w:color w:val="333333"/>
          <w:sz w:val="27"/>
          <w:szCs w:val="27"/>
        </w:rPr>
      </w:pPr>
      <w:r>
        <w:rPr>
          <w:rFonts w:hint="eastAsia" w:ascii="微软雅黑" w:hAnsi="微软雅黑" w:eastAsia="微软雅黑" w:cs="微软雅黑"/>
          <w:color w:val="333333"/>
          <w:sz w:val="27"/>
          <w:szCs w:val="27"/>
        </w:rPr>
        <w:t>（四）政府信息管理</w:t>
      </w:r>
    </w:p>
    <w:p>
      <w:pPr>
        <w:pStyle w:val="4"/>
        <w:keepNext w:val="0"/>
        <w:keepLines w:val="0"/>
        <w:widowControl/>
        <w:suppressLineNumbers w:val="0"/>
        <w:spacing w:line="450" w:lineRule="atLeast"/>
        <w:ind w:left="0" w:firstLine="420"/>
        <w:rPr>
          <w:rFonts w:hint="eastAsia" w:ascii="宋体" w:hAnsi="宋体" w:eastAsia="宋体" w:cs="宋体"/>
          <w:color w:val="333333"/>
          <w:sz w:val="27"/>
          <w:szCs w:val="27"/>
        </w:rPr>
      </w:pPr>
      <w:r>
        <w:rPr>
          <w:rFonts w:hint="eastAsia" w:ascii="微软雅黑" w:hAnsi="微软雅黑" w:eastAsia="微软雅黑" w:cs="微软雅黑"/>
          <w:color w:val="333333"/>
          <w:sz w:val="27"/>
          <w:szCs w:val="27"/>
        </w:rPr>
        <w:t>严格遵循“谁公开谁审查、谁审查谁负责”和“先审查、后公开”的原则，指定专人负责，全力做好需公开政府信息的保密审查工作。认真落实公开属性源头认定机制，制发的文件对公开属性进行明确标识，从源头上保障了公开信息不涉密、涉密信息不公开。建立政府信息公开保密审查工作机制，凡是主动公开的政府信息统一填报《政府信息公开审核表》，经层层把关，最后经主要负责人签字同意后公开。2019年，市商务局未发生政府信息公开泄密事件。</w:t>
      </w:r>
    </w:p>
    <w:p>
      <w:pPr>
        <w:pStyle w:val="4"/>
        <w:keepNext w:val="0"/>
        <w:keepLines w:val="0"/>
        <w:widowControl/>
        <w:suppressLineNumbers w:val="0"/>
        <w:spacing w:line="450" w:lineRule="atLeast"/>
        <w:ind w:left="0" w:firstLine="420"/>
        <w:rPr>
          <w:rFonts w:hint="eastAsia" w:ascii="宋体" w:hAnsi="宋体" w:eastAsia="宋体" w:cs="宋体"/>
          <w:color w:val="333333"/>
          <w:sz w:val="27"/>
          <w:szCs w:val="27"/>
        </w:rPr>
      </w:pPr>
      <w:r>
        <w:rPr>
          <w:rFonts w:hint="eastAsia" w:ascii="微软雅黑" w:hAnsi="微软雅黑" w:eastAsia="微软雅黑" w:cs="微软雅黑"/>
          <w:color w:val="333333"/>
          <w:sz w:val="27"/>
          <w:szCs w:val="27"/>
        </w:rPr>
        <w:t>（五）机构人员和平台建设情况</w:t>
      </w:r>
    </w:p>
    <w:p>
      <w:pPr>
        <w:pStyle w:val="4"/>
        <w:keepNext w:val="0"/>
        <w:keepLines w:val="0"/>
        <w:widowControl/>
        <w:suppressLineNumbers w:val="0"/>
        <w:spacing w:line="450" w:lineRule="atLeast"/>
        <w:ind w:left="0" w:firstLine="420"/>
        <w:rPr>
          <w:rFonts w:hint="eastAsia" w:ascii="宋体" w:hAnsi="宋体" w:eastAsia="宋体" w:cs="宋体"/>
          <w:color w:val="333333"/>
          <w:sz w:val="27"/>
          <w:szCs w:val="27"/>
        </w:rPr>
      </w:pPr>
      <w:r>
        <w:rPr>
          <w:rFonts w:hint="eastAsia" w:ascii="微软雅黑" w:hAnsi="微软雅黑" w:eastAsia="微软雅黑" w:cs="微软雅黑"/>
          <w:color w:val="333333"/>
          <w:sz w:val="27"/>
          <w:szCs w:val="27"/>
        </w:rPr>
        <w:t> 2019年度，我局细化各部门职责，成立以主要领导任组长、分管领导任副组长、科室负责人为成员的政务公开工作领导小组。明确局办公室作为政务信息公开的职能科室，各相关业务科室积极配合，将信息公开完成情况纳入各单位考核指标。指定专人专门负责信息公开，全面协调处理日常公开事务。</w:t>
      </w:r>
    </w:p>
    <w:p>
      <w:pPr>
        <w:pStyle w:val="4"/>
        <w:keepNext w:val="0"/>
        <w:keepLines w:val="0"/>
        <w:widowControl/>
        <w:suppressLineNumbers w:val="0"/>
        <w:spacing w:line="450" w:lineRule="atLeast"/>
        <w:ind w:left="0" w:firstLine="420"/>
        <w:rPr>
          <w:rFonts w:hint="eastAsia" w:ascii="宋体" w:hAnsi="宋体" w:eastAsia="宋体" w:cs="宋体"/>
          <w:color w:val="333333"/>
          <w:sz w:val="27"/>
          <w:szCs w:val="27"/>
        </w:rPr>
      </w:pPr>
      <w:r>
        <w:rPr>
          <w:rFonts w:hint="eastAsia" w:ascii="微软雅黑" w:hAnsi="微软雅黑" w:eastAsia="微软雅黑" w:cs="微软雅黑"/>
          <w:color w:val="333333"/>
          <w:sz w:val="27"/>
          <w:szCs w:val="27"/>
        </w:rPr>
        <w:t>（六）监督保障情况</w:t>
      </w:r>
    </w:p>
    <w:p>
      <w:pPr>
        <w:pStyle w:val="4"/>
        <w:keepNext w:val="0"/>
        <w:keepLines w:val="0"/>
        <w:widowControl/>
        <w:suppressLineNumbers w:val="0"/>
        <w:spacing w:line="450" w:lineRule="atLeast"/>
        <w:ind w:left="0" w:firstLine="420"/>
        <w:rPr>
          <w:rFonts w:hint="eastAsia" w:ascii="宋体" w:hAnsi="宋体" w:eastAsia="宋体" w:cs="宋体"/>
          <w:color w:val="333333"/>
          <w:sz w:val="27"/>
          <w:szCs w:val="27"/>
        </w:rPr>
      </w:pPr>
      <w:r>
        <w:rPr>
          <w:rFonts w:hint="eastAsia" w:ascii="微软雅黑" w:hAnsi="微软雅黑" w:eastAsia="微软雅黑" w:cs="微软雅黑"/>
          <w:color w:val="333333"/>
          <w:sz w:val="27"/>
          <w:szCs w:val="27"/>
        </w:rPr>
        <w:t>本机关高度重视政务公开和信息公开工作，印发了《曲阜市商务局主动公开目录》和《曲阜市商务局政府信息公开指南》，要求各科室认真落实“放管服”改革任务，推动行政权力运行公开；继续全面推进“五公开”；聚焦群众关切，强化政策解读和舆情回应；不断强化平台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color w:val="333333"/>
        </w:rPr>
        <w:t>二、主动公开政府信息情况</w:t>
      </w:r>
    </w:p>
    <w:tbl>
      <w:tblPr>
        <w:tblStyle w:val="5"/>
        <w:tblW w:w="8145" w:type="dxa"/>
        <w:jc w:val="center"/>
        <w:tblInd w:w="185" w:type="dxa"/>
        <w:shd w:val="clear" w:color="auto" w:fill="auto"/>
        <w:tblLayout w:type="fixed"/>
        <w:tblCellMar>
          <w:top w:w="15" w:type="dxa"/>
          <w:left w:w="15" w:type="dxa"/>
          <w:bottom w:w="15" w:type="dxa"/>
          <w:right w:w="15" w:type="dxa"/>
        </w:tblCellMar>
      </w:tblPr>
      <w:tblGrid>
        <w:gridCol w:w="3120"/>
        <w:gridCol w:w="1875"/>
        <w:gridCol w:w="1275"/>
        <w:gridCol w:w="1875"/>
      </w:tblGrid>
      <w:tr>
        <w:tblPrEx>
          <w:shd w:val="clear" w:color="auto" w:fill="auto"/>
          <w:tblLayout w:type="fixed"/>
          <w:tblCellMar>
            <w:top w:w="15" w:type="dxa"/>
            <w:left w:w="15" w:type="dxa"/>
            <w:bottom w:w="15" w:type="dxa"/>
            <w:right w:w="15" w:type="dxa"/>
          </w:tblCellMar>
        </w:tblPrEx>
        <w:trPr>
          <w:trHeight w:val="495" w:hRule="atLeast"/>
          <w:jc w:val="center"/>
        </w:trPr>
        <w:tc>
          <w:tcPr>
            <w:tcW w:w="8145"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第二十条第（一）项</w:t>
            </w:r>
          </w:p>
        </w:tc>
      </w:tr>
      <w:tr>
        <w:tblPrEx>
          <w:tblLayout w:type="fixed"/>
          <w:tblCellMar>
            <w:top w:w="15" w:type="dxa"/>
            <w:left w:w="15" w:type="dxa"/>
            <w:bottom w:w="15" w:type="dxa"/>
            <w:right w:w="15" w:type="dxa"/>
          </w:tblCellMar>
        </w:tblPrEx>
        <w:trPr>
          <w:trHeight w:val="88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信息内容</w:t>
            </w:r>
          </w:p>
        </w:tc>
        <w:tc>
          <w:tcPr>
            <w:tcW w:w="18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本年新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制作数量</w:t>
            </w:r>
          </w:p>
        </w:tc>
        <w:tc>
          <w:tcPr>
            <w:tcW w:w="12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本年新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公开数量</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对外公开总数量</w:t>
            </w:r>
          </w:p>
        </w:tc>
      </w:tr>
      <w:tr>
        <w:tblPrEx>
          <w:tblLayout w:type="fixed"/>
          <w:tblCellMar>
            <w:top w:w="15" w:type="dxa"/>
            <w:left w:w="15" w:type="dxa"/>
            <w:bottom w:w="15" w:type="dxa"/>
            <w:right w:w="15" w:type="dxa"/>
          </w:tblCellMar>
        </w:tblPrEx>
        <w:trPr>
          <w:trHeight w:val="52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规章</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1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r>
        <w:tblPrEx>
          <w:tblLayout w:type="fixed"/>
          <w:tblCellMar>
            <w:top w:w="15" w:type="dxa"/>
            <w:left w:w="15" w:type="dxa"/>
            <w:bottom w:w="15" w:type="dxa"/>
            <w:right w:w="15" w:type="dxa"/>
          </w:tblCellMar>
        </w:tblPrEx>
        <w:trPr>
          <w:trHeight w:val="46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规范性文件</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1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r>
        <w:tblPrEx>
          <w:tblLayout w:type="fixed"/>
          <w:tblCellMar>
            <w:top w:w="15" w:type="dxa"/>
            <w:left w:w="15" w:type="dxa"/>
            <w:bottom w:w="15" w:type="dxa"/>
            <w:right w:w="15" w:type="dxa"/>
          </w:tblCellMar>
        </w:tblPrEx>
        <w:trPr>
          <w:trHeight w:val="480"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第二十条第（五）项</w:t>
            </w:r>
          </w:p>
        </w:tc>
      </w:tr>
      <w:tr>
        <w:tblPrEx>
          <w:tblLayout w:type="fixed"/>
          <w:tblCellMar>
            <w:top w:w="15" w:type="dxa"/>
            <w:left w:w="15" w:type="dxa"/>
            <w:bottom w:w="15" w:type="dxa"/>
            <w:right w:w="15" w:type="dxa"/>
          </w:tblCellMar>
        </w:tblPrEx>
        <w:trPr>
          <w:trHeight w:val="630"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信息内容</w:t>
            </w:r>
          </w:p>
        </w:tc>
        <w:tc>
          <w:tcPr>
            <w:tcW w:w="18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上一年项目数量</w:t>
            </w:r>
          </w:p>
        </w:tc>
        <w:tc>
          <w:tcPr>
            <w:tcW w:w="12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本年增/减</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处理决定数量</w:t>
            </w:r>
          </w:p>
        </w:tc>
      </w:tr>
      <w:tr>
        <w:tblPrEx>
          <w:tblLayout w:type="fixed"/>
          <w:tblCellMar>
            <w:top w:w="15" w:type="dxa"/>
            <w:left w:w="15" w:type="dxa"/>
            <w:bottom w:w="15" w:type="dxa"/>
            <w:right w:w="15" w:type="dxa"/>
          </w:tblCellMar>
        </w:tblPrEx>
        <w:trPr>
          <w:trHeight w:val="52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行政许可</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1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r>
        <w:tblPrEx>
          <w:tblLayout w:type="fixed"/>
          <w:tblCellMar>
            <w:top w:w="15" w:type="dxa"/>
            <w:left w:w="15" w:type="dxa"/>
            <w:bottom w:w="15" w:type="dxa"/>
            <w:right w:w="15" w:type="dxa"/>
          </w:tblCellMar>
        </w:tblPrEx>
        <w:trPr>
          <w:trHeight w:val="55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其他对外管理服务事项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1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r>
        <w:tblPrEx>
          <w:tblLayout w:type="fixed"/>
          <w:tblCellMar>
            <w:top w:w="15" w:type="dxa"/>
            <w:left w:w="15" w:type="dxa"/>
            <w:bottom w:w="15" w:type="dxa"/>
            <w:right w:w="15" w:type="dxa"/>
          </w:tblCellMar>
        </w:tblPrEx>
        <w:trPr>
          <w:trHeight w:val="405"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第二十条第（六）项</w:t>
            </w:r>
          </w:p>
        </w:tc>
      </w:tr>
      <w:tr>
        <w:tblPrEx>
          <w:tblLayout w:type="fixed"/>
          <w:tblCellMar>
            <w:top w:w="15" w:type="dxa"/>
            <w:left w:w="15" w:type="dxa"/>
            <w:bottom w:w="15" w:type="dxa"/>
            <w:right w:w="15" w:type="dxa"/>
          </w:tblCellMar>
        </w:tblPrEx>
        <w:trPr>
          <w:trHeight w:val="630"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信息内容</w:t>
            </w:r>
          </w:p>
        </w:tc>
        <w:tc>
          <w:tcPr>
            <w:tcW w:w="18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上一年项目数量</w:t>
            </w:r>
          </w:p>
        </w:tc>
        <w:tc>
          <w:tcPr>
            <w:tcW w:w="12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本年增/减</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处理决定数量</w:t>
            </w:r>
          </w:p>
        </w:tc>
      </w:tr>
      <w:tr>
        <w:tblPrEx>
          <w:tblLayout w:type="fixed"/>
          <w:tblCellMar>
            <w:top w:w="15" w:type="dxa"/>
            <w:left w:w="15" w:type="dxa"/>
            <w:bottom w:w="15" w:type="dxa"/>
            <w:right w:w="15" w:type="dxa"/>
          </w:tblCellMar>
        </w:tblPrEx>
        <w:trPr>
          <w:trHeight w:val="43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行政处罚</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1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r>
        <w:tblPrEx>
          <w:tblLayout w:type="fixed"/>
          <w:tblCellMar>
            <w:top w:w="15" w:type="dxa"/>
            <w:left w:w="15" w:type="dxa"/>
            <w:bottom w:w="15" w:type="dxa"/>
            <w:right w:w="15" w:type="dxa"/>
          </w:tblCellMar>
        </w:tblPrEx>
        <w:trPr>
          <w:trHeight w:val="40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行政强制</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1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r>
        <w:tblPrEx>
          <w:tblLayout w:type="fixed"/>
          <w:tblCellMar>
            <w:top w:w="15" w:type="dxa"/>
            <w:left w:w="15" w:type="dxa"/>
            <w:bottom w:w="15" w:type="dxa"/>
            <w:right w:w="15" w:type="dxa"/>
          </w:tblCellMar>
        </w:tblPrEx>
        <w:trPr>
          <w:trHeight w:val="480"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第二十条第（八）项</w:t>
            </w:r>
          </w:p>
        </w:tc>
      </w:tr>
      <w:tr>
        <w:tblPrEx>
          <w:tblLayout w:type="fixed"/>
          <w:tblCellMar>
            <w:top w:w="15" w:type="dxa"/>
            <w:left w:w="15" w:type="dxa"/>
            <w:bottom w:w="15" w:type="dxa"/>
            <w:right w:w="15" w:type="dxa"/>
          </w:tblCellMar>
        </w:tblPrEx>
        <w:trPr>
          <w:trHeight w:val="270"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信息内容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上一年项目数量</w:t>
            </w:r>
          </w:p>
        </w:tc>
        <w:tc>
          <w:tcPr>
            <w:tcW w:w="3150" w:type="dxa"/>
            <w:gridSpan w:val="2"/>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本年增/减</w:t>
            </w:r>
          </w:p>
        </w:tc>
      </w:tr>
      <w:tr>
        <w:tblPrEx>
          <w:tblLayout w:type="fixed"/>
          <w:tblCellMar>
            <w:top w:w="15" w:type="dxa"/>
            <w:left w:w="15" w:type="dxa"/>
            <w:bottom w:w="15" w:type="dxa"/>
            <w:right w:w="15" w:type="dxa"/>
          </w:tblCellMar>
        </w:tblPrEx>
        <w:trPr>
          <w:trHeight w:val="55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行政事业性收费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3150"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0 </w:t>
            </w:r>
          </w:p>
        </w:tc>
      </w:tr>
      <w:tr>
        <w:tblPrEx>
          <w:tblLayout w:type="fixed"/>
          <w:tblCellMar>
            <w:top w:w="15" w:type="dxa"/>
            <w:left w:w="15" w:type="dxa"/>
            <w:bottom w:w="15" w:type="dxa"/>
            <w:right w:w="15" w:type="dxa"/>
          </w:tblCellMar>
        </w:tblPrEx>
        <w:trPr>
          <w:trHeight w:val="480"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第二十条第（九）项</w:t>
            </w:r>
          </w:p>
        </w:tc>
      </w:tr>
      <w:tr>
        <w:tblPrEx>
          <w:tblLayout w:type="fixed"/>
          <w:tblCellMar>
            <w:top w:w="15" w:type="dxa"/>
            <w:left w:w="15" w:type="dxa"/>
            <w:bottom w:w="15" w:type="dxa"/>
            <w:right w:w="15" w:type="dxa"/>
          </w:tblCellMar>
        </w:tblPrEx>
        <w:trPr>
          <w:trHeight w:val="585"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信息内容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采购项目数量</w:t>
            </w:r>
          </w:p>
        </w:tc>
        <w:tc>
          <w:tcPr>
            <w:tcW w:w="3150" w:type="dxa"/>
            <w:gridSpan w:val="2"/>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采购总金额</w:t>
            </w:r>
          </w:p>
        </w:tc>
      </w:tr>
      <w:tr>
        <w:tblPrEx>
          <w:tblLayout w:type="fixed"/>
          <w:tblCellMar>
            <w:top w:w="15" w:type="dxa"/>
            <w:left w:w="15" w:type="dxa"/>
            <w:bottom w:w="15" w:type="dxa"/>
            <w:right w:w="15" w:type="dxa"/>
          </w:tblCellMar>
        </w:tblPrEx>
        <w:trPr>
          <w:trHeight w:val="540" w:hRule="atLeast"/>
          <w:jc w:val="center"/>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政府集中采购</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3150" w:type="dxa"/>
            <w:gridSpan w:val="2"/>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三、收到和处理政府信息公开申请情况</w:t>
      </w:r>
    </w:p>
    <w:tbl>
      <w:tblPr>
        <w:tblStyle w:val="5"/>
        <w:tblW w:w="9075" w:type="dxa"/>
        <w:jc w:val="center"/>
        <w:tblInd w:w="-27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90"/>
        <w:gridCol w:w="930"/>
        <w:gridCol w:w="2030"/>
        <w:gridCol w:w="799"/>
        <w:gridCol w:w="743"/>
        <w:gridCol w:w="743"/>
        <w:gridCol w:w="799"/>
        <w:gridCol w:w="952"/>
        <w:gridCol w:w="701"/>
        <w:gridCol w:w="68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jc w:val="center"/>
        </w:trPr>
        <w:tc>
          <w:tcPr>
            <w:tcW w:w="3650"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（本列数据的勾稽关系为：第一项加第二项之和，等于第三项加第四项之和）</w:t>
            </w:r>
          </w:p>
        </w:tc>
        <w:tc>
          <w:tcPr>
            <w:tcW w:w="5425" w:type="dxa"/>
            <w:gridSpan w:val="7"/>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365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799"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自然人</w:t>
            </w:r>
          </w:p>
        </w:tc>
        <w:tc>
          <w:tcPr>
            <w:tcW w:w="3938"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法人或其他组织</w:t>
            </w:r>
          </w:p>
        </w:tc>
        <w:tc>
          <w:tcPr>
            <w:tcW w:w="688"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365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79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商业企业</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科研机构</w:t>
            </w:r>
          </w:p>
        </w:tc>
        <w:tc>
          <w:tcPr>
            <w:tcW w:w="799"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社会公益组织</w:t>
            </w:r>
          </w:p>
        </w:tc>
        <w:tc>
          <w:tcPr>
            <w:tcW w:w="95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法律服务机构</w:t>
            </w:r>
          </w:p>
        </w:tc>
        <w:tc>
          <w:tcPr>
            <w:tcW w:w="70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其他</w:t>
            </w:r>
          </w:p>
        </w:tc>
        <w:tc>
          <w:tcPr>
            <w:tcW w:w="688"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365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一、本年新收政府信息公开申请数量</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1</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0 </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0 </w:t>
            </w: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0 </w:t>
            </w:r>
          </w:p>
        </w:tc>
        <w:tc>
          <w:tcPr>
            <w:tcW w:w="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365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二、上年结转政府信息公开申请数量</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0 </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0 </w:t>
            </w: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三、本年度办理结果</w:t>
            </w:r>
          </w:p>
        </w:tc>
        <w:tc>
          <w:tcPr>
            <w:tcW w:w="296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（一）予以公开</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0 </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0 </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0 </w:t>
            </w:r>
          </w:p>
        </w:tc>
        <w:tc>
          <w:tcPr>
            <w:tcW w:w="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0 </w:t>
            </w:r>
          </w:p>
        </w:tc>
        <w:tc>
          <w:tcPr>
            <w:tcW w:w="68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96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（二）部分公开（区分处理的，只计这一情形，不计其他情形）</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0 </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0 </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0 </w:t>
            </w:r>
          </w:p>
        </w:tc>
        <w:tc>
          <w:tcPr>
            <w:tcW w:w="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3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（三）不予公开</w:t>
            </w:r>
          </w:p>
        </w:tc>
        <w:tc>
          <w:tcPr>
            <w:tcW w:w="20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1.属于国家秘密</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8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0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2.其他法律行政法规禁止公开</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0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3.危及“三安全一稳定”</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0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4.保护第三方合法权益</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0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5.属于三类内部事务信息</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0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6.属于四类过程性信息</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0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7.属于行政执法案卷</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0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8.属于行政查询事项</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3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（四）无法提供</w:t>
            </w:r>
          </w:p>
        </w:tc>
        <w:tc>
          <w:tcPr>
            <w:tcW w:w="20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1.本机关不掌握相关政府信息</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0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2.没有现成信息需要另行制作</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0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3.补正后申请内容仍不明确</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3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（五）不予处理</w:t>
            </w:r>
          </w:p>
        </w:tc>
        <w:tc>
          <w:tcPr>
            <w:tcW w:w="20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1.信访举报投诉类申请</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0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2.重复申请</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0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3.要求提供公开出版物</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0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4.无正当理由大量反复申请</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3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0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5.要求行政机关确认或重新出具已获取信息</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96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（六）其他处理</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296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（七）总计</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1</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0 </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0 </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0 </w:t>
            </w:r>
          </w:p>
        </w:tc>
        <w:tc>
          <w:tcPr>
            <w:tcW w:w="6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365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四、结转下年度继续办理</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0 </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4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0 </w:t>
            </w: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7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8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drawing>
          <wp:inline distT="0" distB="0" distL="114300" distR="114300">
            <wp:extent cx="8839200" cy="2962275"/>
            <wp:effectExtent l="0" t="0" r="0" b="9525"/>
            <wp:docPr id="2" name="图片 3"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图片1.png"/>
                    <pic:cNvPicPr>
                      <a:picLocks noChangeAspect="1"/>
                    </pic:cNvPicPr>
                  </pic:nvPicPr>
                  <pic:blipFill>
                    <a:blip r:embed="rId6"/>
                    <a:stretch>
                      <a:fillRect/>
                    </a:stretch>
                  </pic:blipFill>
                  <pic:spPr>
                    <a:xfrm>
                      <a:off x="0" y="0"/>
                      <a:ext cx="8839200" cy="296227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四、政府信息公开行政复议、行政诉讼情况</w:t>
      </w:r>
    </w:p>
    <w:tbl>
      <w:tblPr>
        <w:tblStyle w:val="5"/>
        <w:tblW w:w="9075" w:type="dxa"/>
        <w:jc w:val="center"/>
        <w:tblInd w:w="-27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jc w:val="center"/>
        </w:trPr>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0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结果维持</w:t>
            </w:r>
          </w:p>
        </w:tc>
        <w:tc>
          <w:tcPr>
            <w:tcW w:w="60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结果纠正</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其他结果</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尚未审结</w:t>
            </w:r>
          </w:p>
        </w:tc>
        <w:tc>
          <w:tcPr>
            <w:tcW w:w="67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总计</w:t>
            </w:r>
          </w:p>
        </w:tc>
        <w:tc>
          <w:tcPr>
            <w:tcW w:w="297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未经复议直接起诉</w:t>
            </w:r>
          </w:p>
        </w:tc>
        <w:tc>
          <w:tcPr>
            <w:tcW w:w="303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0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7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结果维持</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其他结果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尚未审结</w:t>
            </w:r>
          </w:p>
        </w:tc>
        <w:tc>
          <w:tcPr>
            <w:tcW w:w="61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总计</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结果维持</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其他结果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尚未审结</w:t>
            </w:r>
          </w:p>
        </w:tc>
        <w:tc>
          <w:tcPr>
            <w:tcW w:w="63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0 </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0 </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0 </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0 </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0 </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0 </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0 </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t>0</w:t>
            </w:r>
          </w:p>
        </w:tc>
      </w:tr>
    </w:tbl>
    <w:p>
      <w:pPr>
        <w:pStyle w:val="4"/>
        <w:keepNext w:val="0"/>
        <w:keepLines w:val="0"/>
        <w:widowControl/>
        <w:suppressLineNumbers w:val="0"/>
      </w:pPr>
      <w:r>
        <w:rPr>
          <w:rFonts w:hint="default" w:ascii="sans-serif" w:hAnsi="sans-serif" w:eastAsia="sans-serif" w:cs="sans-serif"/>
          <w:b w:val="0"/>
          <w:i w:val="0"/>
          <w:caps w:val="0"/>
          <w:color w:val="000000"/>
          <w:spacing w:val="0"/>
          <w:sz w:val="24"/>
          <w:szCs w:val="24"/>
        </w:rPr>
        <w:t> </w:t>
      </w:r>
      <w:r>
        <w:t> 五、存在的主要问题及改进情况</w:t>
      </w:r>
    </w:p>
    <w:p>
      <w:pPr>
        <w:pStyle w:val="4"/>
        <w:keepNext w:val="0"/>
        <w:keepLines w:val="0"/>
        <w:widowControl/>
        <w:suppressLineNumbers w:val="0"/>
      </w:pPr>
      <w:r>
        <w:t>   2019年，我局政府信息公开工作虽然圆满完成了市委、市政府交办的各项任务，但与群众对统计信息日益增长的需求和期盼相比还存在一定的距离，主要表现在：政府信息公开工作质量、版式创新上还需进一步提高；部分科室对信息公开的重要性和必要性认识不够，部分应主动公开的信息项目还有待完善。</w:t>
      </w:r>
    </w:p>
    <w:p>
      <w:pPr>
        <w:pStyle w:val="4"/>
        <w:keepNext w:val="0"/>
        <w:keepLines w:val="0"/>
        <w:widowControl/>
        <w:suppressLineNumbers w:val="0"/>
      </w:pPr>
      <w:r>
        <w:t>   下一步，将继续大力推进政府信息公开工作，结合局实际情况和群众需要，采取切实有效地措施，保证政府信息公开工作的质量，逐步推进政府信息公开工作逐步走上制度化、规范化。</w:t>
      </w:r>
    </w:p>
    <w:p>
      <w:pPr>
        <w:pStyle w:val="4"/>
        <w:keepNext w:val="0"/>
        <w:keepLines w:val="0"/>
        <w:widowControl/>
        <w:suppressLineNumbers w:val="0"/>
      </w:pPr>
      <w:r>
        <w:t>   一是加大培训力度，增强工作的主动性和责任意识，提高政务信息公开的规范性和及时性。</w:t>
      </w:r>
    </w:p>
    <w:p>
      <w:pPr>
        <w:pStyle w:val="4"/>
        <w:keepNext w:val="0"/>
        <w:keepLines w:val="0"/>
        <w:widowControl/>
        <w:suppressLineNumbers w:val="0"/>
      </w:pPr>
      <w:r>
        <w:t>   二是完善信息公开目录，丰富公开内容和形式，力求使公开的信息更贴近公众、方便群众。同时增强政务信息公开工作的针对性，增加发布信息量，提 高统计数据的及时性、准确性。</w:t>
      </w:r>
    </w:p>
    <w:p>
      <w:pPr>
        <w:pStyle w:val="4"/>
        <w:keepNext w:val="0"/>
        <w:keepLines w:val="0"/>
        <w:widowControl/>
        <w:suppressLineNumbers w:val="0"/>
      </w:pPr>
      <w:r>
        <w:t>   六、其他需要报告的事项</w:t>
      </w:r>
    </w:p>
    <w:p>
      <w:pPr>
        <w:pStyle w:val="4"/>
        <w:keepNext w:val="0"/>
        <w:keepLines w:val="0"/>
        <w:widowControl/>
        <w:suppressLineNumbers w:val="0"/>
      </w:pPr>
      <w:r>
        <w:t>   无</w:t>
      </w:r>
    </w:p>
    <w:p>
      <w:pPr>
        <w:pStyle w:val="4"/>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b w:val="0"/>
          <w:i w:val="0"/>
          <w:caps w:val="0"/>
          <w:color w:val="000000"/>
          <w:spacing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sans-serif">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A15F2"/>
    <w:rsid w:val="134A15F2"/>
    <w:rsid w:val="21DB72BB"/>
    <w:rsid w:val="4E511FF7"/>
    <w:rsid w:val="73BF76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2061</Words>
  <Characters>2115</Characters>
  <Lines>0</Lines>
  <Paragraphs>0</Paragraphs>
  <TotalTime>22</TotalTime>
  <ScaleCrop>false</ScaleCrop>
  <LinksUpToDate>false</LinksUpToDate>
  <CharactersWithSpaces>2175</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2020-06-23T03:24:00Z</dcterms:created>
  <dc:creator>芽</dc:creator>
  <cp:lastModifiedBy>芽</cp:lastModifiedBy>
  <dcterms:modified xsi:type="dcterms:W3CDTF">2020-07-17T02:33:01Z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