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96" w:rightChars="-50"/>
        <w:rPr>
          <w:rFonts w:eastAsia="方正仿宋简体"/>
          <w:b/>
          <w:color w:val="000000"/>
          <w:sz w:val="32"/>
          <w:szCs w:val="32"/>
        </w:rPr>
      </w:pPr>
    </w:p>
    <w:p>
      <w:pPr>
        <w:spacing w:line="590" w:lineRule="exact"/>
        <w:ind w:right="-96" w:rightChars="-50"/>
        <w:jc w:val="center"/>
        <w:outlineLvl w:val="0"/>
        <w:rPr>
          <w:rFonts w:eastAsia="方正小标宋简体"/>
          <w:b/>
          <w:color w:val="000000"/>
          <w:sz w:val="44"/>
          <w:szCs w:val="44"/>
        </w:rPr>
      </w:pPr>
      <w:r>
        <w:rPr>
          <w:rFonts w:hint="eastAsia" w:eastAsia="方正小标宋简体"/>
          <w:b/>
          <w:color w:val="000000"/>
          <w:sz w:val="44"/>
          <w:szCs w:val="44"/>
        </w:rPr>
        <w:t>曲阜市司法局</w:t>
      </w:r>
      <w:r>
        <w:rPr>
          <w:rFonts w:eastAsia="方正小标宋简体"/>
          <w:b/>
          <w:color w:val="000000"/>
          <w:sz w:val="44"/>
          <w:szCs w:val="44"/>
        </w:rPr>
        <w:t>202</w:t>
      </w:r>
      <w:r>
        <w:rPr>
          <w:rFonts w:hint="eastAsia" w:eastAsia="方正小标宋简体"/>
          <w:b/>
          <w:color w:val="000000"/>
          <w:sz w:val="44"/>
          <w:szCs w:val="44"/>
        </w:rPr>
        <w:t>3</w:t>
      </w:r>
      <w:r>
        <w:rPr>
          <w:rFonts w:eastAsia="方正小标宋简体"/>
          <w:b/>
          <w:color w:val="000000"/>
          <w:sz w:val="44"/>
          <w:szCs w:val="44"/>
        </w:rPr>
        <w:t>年政府信息公开</w:t>
      </w:r>
    </w:p>
    <w:p>
      <w:pPr>
        <w:spacing w:line="590" w:lineRule="exact"/>
        <w:ind w:right="-96" w:rightChars="-50"/>
        <w:jc w:val="center"/>
        <w:outlineLvl w:val="0"/>
        <w:rPr>
          <w:rFonts w:eastAsia="方正小标宋简体"/>
          <w:b/>
          <w:color w:val="000000"/>
          <w:sz w:val="44"/>
          <w:szCs w:val="44"/>
        </w:rPr>
      </w:pPr>
      <w:r>
        <w:rPr>
          <w:rFonts w:eastAsia="方正小标宋简体"/>
          <w:b/>
          <w:color w:val="000000"/>
          <w:sz w:val="44"/>
          <w:szCs w:val="44"/>
        </w:rPr>
        <w:t>工作年度报告</w:t>
      </w:r>
    </w:p>
    <w:p>
      <w:pPr>
        <w:spacing w:line="590" w:lineRule="exact"/>
        <w:ind w:right="-96" w:rightChars="-50" w:firstLine="624" w:firstLineChars="200"/>
        <w:rPr>
          <w:rFonts w:eastAsia="方正仿宋简体"/>
          <w:b/>
          <w:color w:val="000000"/>
          <w:sz w:val="32"/>
          <w:szCs w:val="32"/>
        </w:rPr>
      </w:pPr>
    </w:p>
    <w:p>
      <w:pPr>
        <w:spacing w:line="590" w:lineRule="exact"/>
        <w:ind w:right="-96" w:rightChars="-50" w:firstLine="624" w:firstLineChars="200"/>
        <w:rPr>
          <w:rFonts w:eastAsia="方正仿宋简体"/>
          <w:b/>
          <w:color w:val="000000"/>
          <w:spacing w:val="-11"/>
          <w:sz w:val="32"/>
          <w:szCs w:val="32"/>
        </w:rPr>
      </w:pPr>
      <w:r>
        <w:rPr>
          <w:rFonts w:eastAsia="方正仿宋简体"/>
          <w:b/>
          <w:color w:val="000000"/>
          <w:sz w:val="32"/>
          <w:szCs w:val="32"/>
        </w:rPr>
        <w:t>本报告由</w:t>
      </w:r>
      <w:r>
        <w:rPr>
          <w:rFonts w:hint="eastAsia" w:eastAsia="方正仿宋简体"/>
          <w:b/>
          <w:color w:val="000000"/>
          <w:sz w:val="32"/>
          <w:szCs w:val="32"/>
        </w:rPr>
        <w:t>曲阜市司法局</w:t>
      </w:r>
      <w:r>
        <w:rPr>
          <w:rFonts w:eastAsia="方正仿宋简体"/>
          <w:b/>
          <w:color w:val="000000"/>
          <w:sz w:val="32"/>
          <w:szCs w:val="32"/>
        </w:rPr>
        <w:t>按照《中华人民共和国政府信息公开条例》（以下简称《条例》）和《中华人民共和国政府信息</w:t>
      </w:r>
      <w:r>
        <w:rPr>
          <w:rFonts w:eastAsia="方正仿宋简体"/>
          <w:b/>
          <w:color w:val="000000"/>
          <w:spacing w:val="-11"/>
          <w:sz w:val="32"/>
          <w:szCs w:val="32"/>
        </w:rPr>
        <w:t>公开工作年度报告格式》（国办公开办函〔2021〕30号）要求编制。</w:t>
      </w:r>
    </w:p>
    <w:p>
      <w:pPr>
        <w:spacing w:line="590" w:lineRule="exact"/>
        <w:ind w:right="-96" w:rightChars="-50" w:firstLine="624" w:firstLineChars="200"/>
        <w:rPr>
          <w:rFonts w:eastAsia="方正仿宋简体"/>
          <w:b/>
          <w:color w:val="000000"/>
          <w:sz w:val="32"/>
          <w:szCs w:val="32"/>
        </w:rPr>
      </w:pPr>
      <w:r>
        <w:rPr>
          <w:rFonts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96" w:rightChars="-50" w:firstLine="624" w:firstLineChars="200"/>
        <w:rPr>
          <w:rFonts w:eastAsia="方正仿宋简体"/>
          <w:b/>
          <w:color w:val="000000"/>
          <w:sz w:val="32"/>
          <w:szCs w:val="32"/>
        </w:rPr>
      </w:pPr>
      <w:r>
        <w:rPr>
          <w:rFonts w:eastAsia="方正仿宋简体"/>
          <w:b/>
          <w:color w:val="000000"/>
          <w:sz w:val="32"/>
          <w:szCs w:val="32"/>
        </w:rPr>
        <w:t>本报告所列数据的统计期限自202</w:t>
      </w:r>
      <w:r>
        <w:rPr>
          <w:rFonts w:hint="eastAsia" w:eastAsia="方正仿宋简体"/>
          <w:b/>
          <w:color w:val="000000"/>
          <w:sz w:val="32"/>
          <w:szCs w:val="32"/>
        </w:rPr>
        <w:t>3</w:t>
      </w:r>
      <w:r>
        <w:rPr>
          <w:rFonts w:eastAsia="方正仿宋简体"/>
          <w:b/>
          <w:color w:val="000000"/>
          <w:sz w:val="32"/>
          <w:szCs w:val="32"/>
        </w:rPr>
        <w:t>年1月1日起至202</w:t>
      </w:r>
      <w:r>
        <w:rPr>
          <w:rFonts w:hint="eastAsia" w:eastAsia="方正仿宋简体"/>
          <w:b/>
          <w:color w:val="000000"/>
          <w:sz w:val="32"/>
          <w:szCs w:val="32"/>
        </w:rPr>
        <w:t>3</w:t>
      </w:r>
      <w:r>
        <w:rPr>
          <w:rFonts w:eastAsia="方正仿宋简体"/>
          <w:b/>
          <w:color w:val="000000"/>
          <w:sz w:val="32"/>
          <w:szCs w:val="32"/>
        </w:rPr>
        <w:t>年12月31日止。本报告电子版可在“中国·</w:t>
      </w:r>
      <w:r>
        <w:rPr>
          <w:rFonts w:hint="eastAsia" w:eastAsia="方正仿宋简体"/>
          <w:b/>
          <w:color w:val="000000"/>
          <w:sz w:val="32"/>
          <w:szCs w:val="32"/>
        </w:rPr>
        <w:t>曲阜</w:t>
      </w:r>
      <w:r>
        <w:rPr>
          <w:rFonts w:eastAsia="方正仿宋简体"/>
          <w:b/>
          <w:color w:val="000000"/>
          <w:sz w:val="32"/>
          <w:szCs w:val="32"/>
        </w:rPr>
        <w:t>”政府门户网站（</w:t>
      </w:r>
      <w:r>
        <w:rPr>
          <w:rFonts w:hint="eastAsia" w:eastAsia="方正仿宋简体"/>
          <w:b/>
          <w:color w:val="000000"/>
          <w:sz w:val="32"/>
          <w:szCs w:val="32"/>
        </w:rPr>
        <w:t>www.qufu.gov.cn</w:t>
      </w:r>
      <w:r>
        <w:rPr>
          <w:rFonts w:eastAsia="方正仿宋简体"/>
          <w:b/>
          <w:color w:val="000000"/>
          <w:sz w:val="32"/>
          <w:szCs w:val="32"/>
        </w:rPr>
        <w:t>）查阅或下载。如对本报告有疑问，请与</w:t>
      </w:r>
      <w:r>
        <w:rPr>
          <w:rFonts w:hint="eastAsia" w:eastAsia="方正仿宋简体"/>
          <w:b/>
          <w:color w:val="000000"/>
          <w:sz w:val="32"/>
          <w:szCs w:val="32"/>
        </w:rPr>
        <w:t>曲阜市司法局办公室</w:t>
      </w:r>
      <w:r>
        <w:rPr>
          <w:rFonts w:eastAsia="方正仿宋简体"/>
          <w:b/>
          <w:color w:val="000000"/>
          <w:sz w:val="32"/>
          <w:szCs w:val="32"/>
        </w:rPr>
        <w:t>联系（地址：</w:t>
      </w:r>
      <w:r>
        <w:rPr>
          <w:rFonts w:hint="eastAsia" w:eastAsia="方正仿宋简体"/>
          <w:b/>
          <w:color w:val="000000"/>
          <w:sz w:val="32"/>
          <w:szCs w:val="32"/>
        </w:rPr>
        <w:t>曲阜市舞雩台路8号</w:t>
      </w:r>
      <w:r>
        <w:rPr>
          <w:rFonts w:eastAsia="方正仿宋简体"/>
          <w:b/>
          <w:color w:val="000000"/>
          <w:sz w:val="32"/>
          <w:szCs w:val="32"/>
        </w:rPr>
        <w:t>，联系电话：0537-3193555）。</w:t>
      </w:r>
    </w:p>
    <w:p>
      <w:pPr>
        <w:spacing w:line="590" w:lineRule="exact"/>
        <w:ind w:right="-96" w:rightChars="-50" w:firstLine="624" w:firstLineChars="200"/>
        <w:rPr>
          <w:rFonts w:eastAsia="方正黑体简体"/>
          <w:b/>
          <w:color w:val="000000"/>
          <w:sz w:val="32"/>
          <w:szCs w:val="32"/>
        </w:rPr>
      </w:pPr>
      <w:r>
        <w:rPr>
          <w:rFonts w:eastAsia="方正黑体简体"/>
          <w:b/>
          <w:color w:val="000000"/>
          <w:sz w:val="32"/>
          <w:szCs w:val="32"/>
        </w:rPr>
        <w:t>一、总体情况</w:t>
      </w:r>
    </w:p>
    <w:p>
      <w:pPr>
        <w:spacing w:line="590" w:lineRule="exact"/>
        <w:ind w:right="-96" w:rightChars="-50" w:firstLine="624" w:firstLineChars="200"/>
        <w:rPr>
          <w:rFonts w:eastAsia="方正仿宋简体"/>
          <w:b/>
          <w:color w:val="000000"/>
          <w:sz w:val="32"/>
          <w:szCs w:val="32"/>
        </w:rPr>
      </w:pPr>
      <w:r>
        <w:rPr>
          <w:rFonts w:hint="eastAsia" w:eastAsia="方正仿宋简体"/>
          <w:b/>
          <w:color w:val="000000"/>
          <w:sz w:val="32"/>
          <w:szCs w:val="32"/>
        </w:rPr>
        <w:t>202</w:t>
      </w:r>
      <w:r>
        <w:rPr>
          <w:rFonts w:eastAsia="方正仿宋简体"/>
          <w:b/>
          <w:color w:val="000000"/>
          <w:sz w:val="32"/>
          <w:szCs w:val="32"/>
        </w:rPr>
        <w:t>3</w:t>
      </w:r>
      <w:r>
        <w:rPr>
          <w:rFonts w:hint="eastAsia" w:eastAsia="方正仿宋简体"/>
          <w:b/>
          <w:color w:val="000000"/>
          <w:sz w:val="32"/>
          <w:szCs w:val="32"/>
        </w:rPr>
        <w:t>年，曲阜市司法局政务公开工作严格贯彻落实《中华人民共和国政府信息公开条例》精神，通过召开政务公开工作推进会，进一步提高思想认识，强化服务意识，抓好政务公开工作落实。健全工作制度，认真梳理行政权力和工作职能，切实做好政务公开工作。</w:t>
      </w:r>
    </w:p>
    <w:p>
      <w:pPr>
        <w:spacing w:line="590" w:lineRule="exact"/>
        <w:ind w:right="-96" w:rightChars="-50" w:firstLine="624" w:firstLineChars="200"/>
        <w:rPr>
          <w:rFonts w:eastAsia="方正楷体简体"/>
          <w:b/>
          <w:color w:val="000000"/>
          <w:sz w:val="32"/>
          <w:szCs w:val="32"/>
        </w:rPr>
      </w:pPr>
      <w:r>
        <w:rPr>
          <w:rFonts w:eastAsia="方正楷体简体"/>
          <w:b/>
          <w:color w:val="000000"/>
          <w:sz w:val="32"/>
          <w:szCs w:val="32"/>
        </w:rPr>
        <w:t>（一）主动公开情况</w:t>
      </w:r>
    </w:p>
    <w:p>
      <w:pPr>
        <w:spacing w:line="590" w:lineRule="exact"/>
        <w:ind w:right="-96" w:rightChars="-50" w:firstLine="624" w:firstLineChars="200"/>
        <w:rPr>
          <w:rFonts w:eastAsia="方正仿宋简体"/>
          <w:b/>
          <w:color w:val="000000"/>
          <w:sz w:val="32"/>
          <w:szCs w:val="32"/>
        </w:rPr>
      </w:pPr>
      <w:r>
        <w:rPr>
          <w:rFonts w:hint="eastAsia" w:eastAsia="方正仿宋简体"/>
          <w:b/>
          <w:color w:val="000000"/>
          <w:sz w:val="32"/>
          <w:szCs w:val="32"/>
        </w:rPr>
        <w:t>202</w:t>
      </w:r>
      <w:r>
        <w:rPr>
          <w:rFonts w:eastAsia="方正仿宋简体"/>
          <w:b/>
          <w:color w:val="000000"/>
          <w:sz w:val="32"/>
          <w:szCs w:val="32"/>
        </w:rPr>
        <w:t>3</w:t>
      </w:r>
      <w:r>
        <w:rPr>
          <w:rFonts w:hint="eastAsia" w:eastAsia="方正仿宋简体"/>
          <w:b/>
          <w:color w:val="000000"/>
          <w:sz w:val="32"/>
          <w:szCs w:val="32"/>
        </w:rPr>
        <w:t>年，曲阜市司法局主动公开政府信息6</w:t>
      </w:r>
      <w:r>
        <w:rPr>
          <w:rFonts w:eastAsia="方正仿宋简体"/>
          <w:b/>
          <w:color w:val="000000"/>
          <w:sz w:val="32"/>
          <w:szCs w:val="32"/>
        </w:rPr>
        <w:t>9</w:t>
      </w:r>
      <w:r>
        <w:rPr>
          <w:rFonts w:hint="eastAsia" w:eastAsia="方正仿宋简体"/>
          <w:b/>
          <w:color w:val="000000"/>
          <w:sz w:val="32"/>
          <w:szCs w:val="32"/>
        </w:rPr>
        <w:t>条，其中要闻推荐</w:t>
      </w:r>
      <w:r>
        <w:rPr>
          <w:rFonts w:eastAsia="方正仿宋简体"/>
          <w:b/>
          <w:color w:val="000000"/>
          <w:sz w:val="32"/>
          <w:szCs w:val="32"/>
        </w:rPr>
        <w:t>37</w:t>
      </w:r>
      <w:r>
        <w:rPr>
          <w:rFonts w:hint="eastAsia" w:eastAsia="方正仿宋简体"/>
          <w:b/>
          <w:color w:val="000000"/>
          <w:sz w:val="32"/>
          <w:szCs w:val="32"/>
        </w:rPr>
        <w:t>条，“和为贵”调解信息4条，公共法律服务信息</w:t>
      </w:r>
      <w:r>
        <w:rPr>
          <w:rFonts w:eastAsia="方正仿宋简体"/>
          <w:b/>
          <w:color w:val="000000"/>
          <w:sz w:val="32"/>
          <w:szCs w:val="32"/>
        </w:rPr>
        <w:t>5</w:t>
      </w:r>
      <w:r>
        <w:rPr>
          <w:rFonts w:hint="eastAsia" w:eastAsia="方正仿宋简体"/>
          <w:b/>
          <w:color w:val="000000"/>
          <w:sz w:val="32"/>
          <w:szCs w:val="32"/>
        </w:rPr>
        <w:t>条，曲阜普法信息</w:t>
      </w:r>
      <w:r>
        <w:rPr>
          <w:rFonts w:eastAsia="方正仿宋简体"/>
          <w:b/>
          <w:color w:val="000000"/>
          <w:sz w:val="32"/>
          <w:szCs w:val="32"/>
        </w:rPr>
        <w:t>10</w:t>
      </w:r>
      <w:r>
        <w:rPr>
          <w:rFonts w:hint="eastAsia" w:eastAsia="方正仿宋简体"/>
          <w:b/>
          <w:color w:val="000000"/>
          <w:sz w:val="32"/>
          <w:szCs w:val="32"/>
        </w:rPr>
        <w:t>条，规范性文件1</w:t>
      </w:r>
      <w:r>
        <w:rPr>
          <w:rFonts w:eastAsia="方正仿宋简体"/>
          <w:b/>
          <w:color w:val="000000"/>
          <w:sz w:val="32"/>
          <w:szCs w:val="32"/>
        </w:rPr>
        <w:t>0</w:t>
      </w:r>
      <w:r>
        <w:rPr>
          <w:rFonts w:hint="eastAsia" w:eastAsia="方正仿宋简体"/>
          <w:b/>
          <w:color w:val="000000"/>
          <w:sz w:val="32"/>
          <w:szCs w:val="32"/>
        </w:rPr>
        <w:t>条，部门财政预决算信息</w:t>
      </w:r>
      <w:r>
        <w:rPr>
          <w:rFonts w:eastAsia="方正仿宋简体"/>
          <w:b/>
          <w:color w:val="000000"/>
          <w:sz w:val="32"/>
          <w:szCs w:val="32"/>
        </w:rPr>
        <w:t>3</w:t>
      </w:r>
      <w:r>
        <w:rPr>
          <w:rFonts w:hint="eastAsia" w:eastAsia="方正仿宋简体"/>
          <w:b/>
          <w:color w:val="000000"/>
          <w:sz w:val="32"/>
          <w:szCs w:val="32"/>
        </w:rPr>
        <w:drawing>
          <wp:anchor distT="0" distB="0" distL="114300" distR="114300" simplePos="0" relativeHeight="251659264" behindDoc="0" locked="0" layoutInCell="1" allowOverlap="1">
            <wp:simplePos x="0" y="0"/>
            <wp:positionH relativeFrom="column">
              <wp:posOffset>58420</wp:posOffset>
            </wp:positionH>
            <wp:positionV relativeFrom="paragraph">
              <wp:posOffset>1348740</wp:posOffset>
            </wp:positionV>
            <wp:extent cx="5486400" cy="3200400"/>
            <wp:effectExtent l="0" t="0" r="0" b="0"/>
            <wp:wrapSquare wrapText="bothSides"/>
            <wp:docPr id="213591166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eastAsia="方正仿宋简体"/>
          <w:b/>
          <w:color w:val="000000"/>
          <w:sz w:val="32"/>
          <w:szCs w:val="32"/>
        </w:rPr>
        <w:t>条。</w:t>
      </w:r>
    </w:p>
    <w:p>
      <w:pPr>
        <w:spacing w:line="590" w:lineRule="exact"/>
        <w:ind w:right="-96" w:rightChars="-5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r>
        <w:rPr>
          <w:rFonts w:eastAsia="方正楷体简体"/>
          <w:b/>
          <w:color w:val="000000"/>
          <w:sz w:val="32"/>
          <w:szCs w:val="32"/>
        </w:rPr>
        <w:t>（二）依申请公开情况</w:t>
      </w:r>
    </w:p>
    <w:p>
      <w:pPr>
        <w:spacing w:line="590" w:lineRule="exact"/>
        <w:ind w:right="-96" w:rightChars="-50" w:firstLine="624" w:firstLineChars="200"/>
        <w:rPr>
          <w:rFonts w:eastAsia="方正仿宋简体"/>
          <w:b/>
          <w:color w:val="000000"/>
          <w:sz w:val="32"/>
          <w:szCs w:val="32"/>
        </w:rPr>
      </w:pPr>
      <w:r>
        <w:rPr>
          <w:rFonts w:hint="eastAsia" w:eastAsia="方正仿宋简体"/>
          <w:b/>
          <w:color w:val="000000"/>
          <w:sz w:val="32"/>
          <w:szCs w:val="32"/>
        </w:rPr>
        <w:t>202</w:t>
      </w:r>
      <w:r>
        <w:rPr>
          <w:rFonts w:eastAsia="方正仿宋简体"/>
          <w:b/>
          <w:color w:val="000000"/>
          <w:sz w:val="32"/>
          <w:szCs w:val="32"/>
        </w:rPr>
        <w:t>3</w:t>
      </w:r>
      <w:r>
        <w:rPr>
          <w:rFonts w:hint="eastAsia" w:eastAsia="方正仿宋简体"/>
          <w:b/>
          <w:color w:val="000000"/>
          <w:sz w:val="32"/>
          <w:szCs w:val="32"/>
        </w:rPr>
        <w:t>年度，曲阜市司法局收到和处理政府信息公开申请</w:t>
      </w:r>
      <w:r>
        <w:rPr>
          <w:rFonts w:eastAsia="方正仿宋简体"/>
          <w:b/>
          <w:color w:val="000000"/>
          <w:sz w:val="32"/>
          <w:szCs w:val="32"/>
        </w:rPr>
        <w:t>2</w:t>
      </w:r>
      <w:r>
        <w:rPr>
          <w:rFonts w:hint="eastAsia" w:eastAsia="方正仿宋简体"/>
          <w:b/>
          <w:color w:val="000000"/>
          <w:sz w:val="32"/>
          <w:szCs w:val="32"/>
        </w:rPr>
        <w:t>条</w:t>
      </w:r>
      <w:r>
        <w:rPr>
          <w:rFonts w:eastAsia="方正仿宋简体"/>
          <w:b/>
          <w:color w:val="000000"/>
          <w:sz w:val="32"/>
          <w:szCs w:val="32"/>
        </w:rPr>
        <w:t>申请涉及</w:t>
      </w:r>
      <w:r>
        <w:rPr>
          <w:rFonts w:hint="eastAsia" w:eastAsia="方正仿宋简体"/>
          <w:b/>
          <w:color w:val="000000"/>
          <w:sz w:val="32"/>
          <w:szCs w:val="32"/>
        </w:rPr>
        <w:t>法律咨询、案件处罚情况，予以公开</w:t>
      </w:r>
      <w:r>
        <w:rPr>
          <w:rFonts w:eastAsia="方正仿宋简体"/>
          <w:b/>
          <w:color w:val="000000"/>
          <w:sz w:val="32"/>
          <w:szCs w:val="32"/>
        </w:rPr>
        <w:t>2</w:t>
      </w:r>
      <w:r>
        <w:rPr>
          <w:rFonts w:hint="eastAsia" w:eastAsia="方正仿宋简体"/>
          <w:b/>
          <w:color w:val="000000"/>
          <w:sz w:val="32"/>
          <w:szCs w:val="32"/>
        </w:rPr>
        <w:t>件。与202</w:t>
      </w:r>
      <w:r>
        <w:rPr>
          <w:rFonts w:eastAsia="方正仿宋简体"/>
          <w:b/>
          <w:color w:val="000000"/>
          <w:sz w:val="32"/>
          <w:szCs w:val="32"/>
        </w:rPr>
        <w:t>2</w:t>
      </w:r>
      <w:r>
        <w:rPr>
          <w:rFonts w:hint="eastAsia" w:eastAsia="方正仿宋简体"/>
          <w:b/>
          <w:color w:val="000000"/>
          <w:sz w:val="32"/>
          <w:szCs w:val="32"/>
        </w:rPr>
        <w:t>年相比申请数量增加</w:t>
      </w:r>
      <w:r>
        <w:rPr>
          <w:rFonts w:eastAsia="方正仿宋简体"/>
          <w:b/>
          <w:color w:val="000000"/>
          <w:sz w:val="32"/>
          <w:szCs w:val="32"/>
        </w:rPr>
        <w:t>2</w:t>
      </w:r>
      <w:r>
        <w:rPr>
          <w:rFonts w:hint="eastAsia" w:eastAsia="方正仿宋简体"/>
          <w:b/>
          <w:color w:val="000000"/>
          <w:sz w:val="32"/>
          <w:szCs w:val="32"/>
        </w:rPr>
        <w:t>件。</w:t>
      </w:r>
      <w:r>
        <w:rPr>
          <w:rFonts w:eastAsia="方正仿宋简体"/>
          <w:b/>
          <w:color w:val="000000"/>
          <w:sz w:val="32"/>
          <w:szCs w:val="32"/>
        </w:rPr>
        <w:t>2</w:t>
      </w:r>
      <w:r>
        <w:rPr>
          <w:rFonts w:hint="eastAsia" w:eastAsia="方正仿宋简体"/>
          <w:b/>
          <w:color w:val="000000"/>
          <w:sz w:val="32"/>
          <w:szCs w:val="32"/>
        </w:rPr>
        <w:t>件政府信息公开均无收费情况。202</w:t>
      </w:r>
      <w:r>
        <w:rPr>
          <w:rFonts w:eastAsia="方正仿宋简体"/>
          <w:b/>
          <w:color w:val="000000"/>
          <w:sz w:val="32"/>
          <w:szCs w:val="32"/>
        </w:rPr>
        <w:t>3</w:t>
      </w:r>
      <w:r>
        <w:rPr>
          <w:rFonts w:hint="eastAsia" w:eastAsia="方正仿宋简体"/>
          <w:b/>
          <w:color w:val="000000"/>
          <w:sz w:val="32"/>
          <w:szCs w:val="32"/>
        </w:rPr>
        <w:t>年，曲阜市司法局未出现因政府信息公开引起的行政复议、行政诉讼的情况。</w:t>
      </w:r>
      <w:r>
        <w:rPr>
          <w:rFonts w:eastAsia="方正仿宋简体"/>
          <w:b/>
          <w:color w:val="000000"/>
          <w:sz w:val="32"/>
          <w:szCs w:val="32"/>
        </w:rPr>
        <w:t xml:space="preserve"> </w:t>
      </w:r>
    </w:p>
    <w:p>
      <w:pPr>
        <w:spacing w:line="590" w:lineRule="exact"/>
        <w:ind w:right="-96" w:rightChars="-50" w:firstLine="624" w:firstLineChars="200"/>
        <w:rPr>
          <w:rFonts w:eastAsia="方正仿宋简体"/>
          <w:b/>
          <w:color w:val="000000"/>
          <w:sz w:val="32"/>
          <w:szCs w:val="32"/>
        </w:rPr>
      </w:pP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r>
        <w:rPr>
          <w:rFonts w:eastAsia="方正仿宋简体"/>
          <w:b/>
          <w:color w:val="000000"/>
          <w:sz w:val="32"/>
          <w:szCs w:val="32"/>
        </w:rPr>
        <w:drawing>
          <wp:anchor distT="0" distB="0" distL="114300" distR="114300" simplePos="0" relativeHeight="251660288" behindDoc="0" locked="0" layoutInCell="1" allowOverlap="1">
            <wp:simplePos x="0" y="0"/>
            <wp:positionH relativeFrom="column">
              <wp:posOffset>401320</wp:posOffset>
            </wp:positionH>
            <wp:positionV relativeFrom="paragraph">
              <wp:posOffset>-2902585</wp:posOffset>
            </wp:positionV>
            <wp:extent cx="5486400" cy="3200400"/>
            <wp:effectExtent l="0" t="0" r="0" b="0"/>
            <wp:wrapSquare wrapText="bothSides"/>
            <wp:docPr id="1324977376"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590" w:lineRule="exact"/>
        <w:ind w:right="-96" w:rightChars="-50" w:firstLine="624" w:firstLineChars="200"/>
        <w:rPr>
          <w:rFonts w:eastAsia="方正楷体简体"/>
          <w:b/>
          <w:color w:val="000000"/>
          <w:sz w:val="32"/>
          <w:szCs w:val="32"/>
        </w:rPr>
      </w:pPr>
    </w:p>
    <w:p>
      <w:pPr>
        <w:spacing w:line="590" w:lineRule="exact"/>
        <w:ind w:right="-96" w:rightChars="-50" w:firstLine="624" w:firstLineChars="200"/>
        <w:rPr>
          <w:rFonts w:eastAsia="方正楷体简体"/>
          <w:b/>
          <w:color w:val="000000"/>
          <w:sz w:val="32"/>
          <w:szCs w:val="32"/>
        </w:rPr>
      </w:pPr>
      <w:r>
        <w:rPr>
          <w:rFonts w:eastAsia="方正楷体简体"/>
          <w:b/>
          <w:color w:val="000000"/>
          <w:sz w:val="32"/>
          <w:szCs w:val="32"/>
        </w:rPr>
        <w:t>（三）政府信息管理情况</w:t>
      </w:r>
    </w:p>
    <w:p>
      <w:pPr>
        <w:spacing w:line="590" w:lineRule="exact"/>
        <w:ind w:right="-96" w:rightChars="-50" w:firstLine="624" w:firstLineChars="200"/>
        <w:rPr>
          <w:rFonts w:eastAsia="方正仿宋简体"/>
          <w:b/>
          <w:color w:val="000000"/>
          <w:sz w:val="32"/>
          <w:szCs w:val="32"/>
        </w:rPr>
      </w:pPr>
      <w:r>
        <w:rPr>
          <w:rFonts w:hint="eastAsia" w:eastAsia="方正仿宋简体"/>
          <w:b/>
          <w:color w:val="000000"/>
          <w:sz w:val="32"/>
          <w:szCs w:val="32"/>
        </w:rPr>
        <w:t>建立健全政府信息公开工作机制，完善标准目录，明确政府信息公开的工作机构，指定办公室专人负责政府信息公开各项工作，严格执行政府信息公开的法律法规，对所公开事项内容进行审核、把关，确保公开内容的合法性、准确性、严肃性，确保公开的范围、形式、时限、程序等符合《中华人民共和国政府信息公开条例》的相关要求。</w:t>
      </w:r>
    </w:p>
    <w:p>
      <w:pPr>
        <w:spacing w:line="590" w:lineRule="exact"/>
        <w:ind w:right="-96" w:rightChars="-50" w:firstLine="624" w:firstLineChars="200"/>
        <w:rPr>
          <w:rFonts w:eastAsia="方正楷体简体"/>
          <w:b/>
          <w:color w:val="000000"/>
          <w:sz w:val="32"/>
          <w:szCs w:val="32"/>
        </w:rPr>
      </w:pPr>
      <w:r>
        <w:rPr>
          <w:rFonts w:eastAsia="方正楷体简体"/>
          <w:b/>
          <w:color w:val="000000"/>
          <w:sz w:val="32"/>
          <w:szCs w:val="32"/>
        </w:rPr>
        <w:t>（四）政府信息公开平台建设情况</w:t>
      </w:r>
    </w:p>
    <w:p>
      <w:pPr>
        <w:spacing w:line="590" w:lineRule="exact"/>
        <w:ind w:right="-96" w:rightChars="-50" w:firstLine="624" w:firstLineChars="200"/>
        <w:rPr>
          <w:rFonts w:eastAsia="方正仿宋简体"/>
          <w:b/>
          <w:color w:val="000000"/>
          <w:sz w:val="32"/>
          <w:szCs w:val="32"/>
        </w:rPr>
      </w:pPr>
      <w:r>
        <w:rPr>
          <w:rFonts w:hint="eastAsia" w:eastAsia="方正仿宋简体"/>
          <w:b/>
          <w:color w:val="000000"/>
          <w:sz w:val="32"/>
          <w:szCs w:val="32"/>
        </w:rPr>
        <w:t>信息公开平台主要依托孔子故里·中国曲阜网门户网站、“法治曲阜”微信公众号进行全文电子化公开，在公共法律服务中心设立政务公开体验区进行纸质化公开两种公开类型。</w:t>
      </w:r>
    </w:p>
    <w:p>
      <w:pPr>
        <w:spacing w:line="590" w:lineRule="exact"/>
        <w:ind w:right="-96" w:rightChars="-50" w:firstLine="624" w:firstLineChars="200"/>
        <w:rPr>
          <w:rFonts w:eastAsia="方正楷体简体"/>
          <w:b/>
          <w:color w:val="000000"/>
          <w:sz w:val="32"/>
          <w:szCs w:val="32"/>
        </w:rPr>
      </w:pPr>
      <w:r>
        <w:rPr>
          <w:rFonts w:eastAsia="方正楷体简体"/>
          <w:b/>
          <w:color w:val="000000"/>
          <w:sz w:val="32"/>
          <w:szCs w:val="32"/>
        </w:rPr>
        <w:t>（五）监督保障情况</w:t>
      </w:r>
    </w:p>
    <w:p>
      <w:pPr>
        <w:spacing w:line="590" w:lineRule="exact"/>
        <w:ind w:right="-96" w:rightChars="-50" w:firstLine="624" w:firstLineChars="200"/>
        <w:rPr>
          <w:rFonts w:eastAsia="方正仿宋简体"/>
          <w:b/>
          <w:color w:val="000000"/>
          <w:sz w:val="32"/>
          <w:szCs w:val="32"/>
        </w:rPr>
      </w:pPr>
      <w:r>
        <w:rPr>
          <w:rFonts w:hint="eastAsia" w:eastAsia="方正仿宋简体"/>
          <w:b/>
          <w:color w:val="000000"/>
          <w:sz w:val="32"/>
          <w:szCs w:val="32"/>
        </w:rPr>
        <w:t>我局将健全政府信息公开工作机制，切实加强对信息公开工作的监督检查，确保各项准备工作和措施落实到位，促使政务公开工作规范开展。及时公开，使群众了解主要内容，接受群众监督。</w:t>
      </w:r>
    </w:p>
    <w:p>
      <w:pPr>
        <w:spacing w:line="590" w:lineRule="exact"/>
        <w:ind w:right="-96" w:rightChars="-50" w:firstLine="624" w:firstLineChars="200"/>
        <w:rPr>
          <w:rFonts w:eastAsia="方正仿宋简体"/>
          <w:b/>
          <w:color w:val="000000"/>
          <w:sz w:val="32"/>
          <w:szCs w:val="32"/>
        </w:rPr>
      </w:pPr>
    </w:p>
    <w:p>
      <w:pPr>
        <w:spacing w:line="590" w:lineRule="exact"/>
        <w:ind w:right="-96" w:rightChars="-50" w:firstLine="624" w:firstLineChars="200"/>
        <w:rPr>
          <w:rFonts w:eastAsia="方正黑体简体"/>
          <w:b/>
          <w:color w:val="000000"/>
          <w:sz w:val="32"/>
          <w:szCs w:val="32"/>
        </w:rPr>
      </w:pPr>
      <w:r>
        <w:rPr>
          <w:rFonts w:eastAsia="方正黑体简体"/>
          <w:b/>
          <w:color w:val="000000"/>
          <w:sz w:val="32"/>
          <w:szCs w:val="32"/>
        </w:rPr>
        <w:t>二、主动公开政府信息情况</w:t>
      </w:r>
    </w:p>
    <w:tbl>
      <w:tblPr>
        <w:tblStyle w:val="5"/>
        <w:tblW w:w="9060" w:type="dxa"/>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第二十条第（一）项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szCs w:val="21"/>
              </w:rPr>
            </w:pPr>
            <w:r>
              <w:rPr>
                <w:rFonts w:hint="eastAsia" w:ascii="仿宋_GB2312" w:hAnsi="宋体" w:eastAsia="仿宋_GB2312" w:cs="宋体"/>
                <w:color w:val="000000"/>
                <w:szCs w:val="21"/>
              </w:rPr>
              <w:t>信息内容</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szCs w:val="21"/>
              </w:rPr>
            </w:pPr>
            <w:r>
              <w:rPr>
                <w:rFonts w:hint="eastAsia" w:ascii="仿宋_GB2312" w:hAnsi="宋体" w:eastAsia="仿宋_GB2312" w:cs="宋体"/>
                <w:color w:val="000000"/>
                <w:szCs w:val="21"/>
              </w:rPr>
              <w:t>本年制发件数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szCs w:val="21"/>
              </w:rPr>
            </w:pPr>
            <w:r>
              <w:rPr>
                <w:rFonts w:hint="eastAsia" w:ascii="仿宋_GB2312" w:hAnsi="宋体" w:eastAsia="仿宋_GB2312" w:cs="宋体"/>
                <w:color w:val="000000"/>
                <w:szCs w:val="21"/>
              </w:rPr>
              <w:t>本年废止件数</w:t>
            </w:r>
          </w:p>
        </w:tc>
        <w:tc>
          <w:tcPr>
            <w:tcW w:w="2265" w:type="dxa"/>
            <w:tcBorders>
              <w:top w:val="nil"/>
              <w:left w:val="nil"/>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szCs w:val="21"/>
              </w:rPr>
            </w:pPr>
            <w:r>
              <w:rPr>
                <w:rFonts w:hint="eastAsia" w:ascii="仿宋_GB2312" w:hAnsi="宋体" w:eastAsia="仿宋_GB2312" w:cs="宋体"/>
                <w:color w:val="000000"/>
                <w:szCs w:val="21"/>
              </w:rPr>
              <w:t>现行有效件数</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规章</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　　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 　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ascii="仿宋_GB2312" w:hAnsi="Calibri" w:eastAsia="仿宋_GB2312" w:cs="Calibri"/>
                <w:color w:val="000000"/>
                <w:szCs w:val="21"/>
              </w:rPr>
            </w:pPr>
            <w:r>
              <w:rPr>
                <w:rFonts w:hint="eastAsia" w:ascii="仿宋_GB2312" w:hAnsi="Calibri" w:eastAsia="仿宋_GB2312" w:cs="Calibri"/>
                <w:color w:val="000000"/>
                <w:szCs w:val="21"/>
              </w:rPr>
              <w:t>　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行政规范性文件</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　　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 　0</w:t>
            </w:r>
          </w:p>
        </w:tc>
        <w:tc>
          <w:tcPr>
            <w:tcW w:w="2265" w:type="dxa"/>
            <w:tcBorders>
              <w:top w:val="nil"/>
              <w:left w:val="nil"/>
              <w:bottom w:val="single" w:color="auto" w:sz="8" w:space="0"/>
              <w:right w:val="single" w:color="auto" w:sz="8" w:space="0"/>
            </w:tcBorders>
            <w:shd w:val="clear" w:color="auto" w:fill="auto"/>
            <w:vAlign w:val="center"/>
          </w:tcPr>
          <w:p>
            <w:pPr>
              <w:widowControl/>
              <w:jc w:val="left"/>
              <w:rPr>
                <w:rFonts w:ascii="仿宋_GB2312" w:hAnsi="Calibri" w:eastAsia="仿宋_GB2312" w:cs="Calibri"/>
                <w:color w:val="000000"/>
                <w:szCs w:val="21"/>
              </w:rPr>
            </w:pPr>
            <w:r>
              <w:rPr>
                <w:rFonts w:hint="eastAsia" w:ascii="仿宋_GB2312" w:hAnsi="Calibri" w:eastAsia="仿宋_GB2312" w:cs="Calibri"/>
                <w:color w:val="000000"/>
                <w:szCs w:val="21"/>
              </w:rPr>
              <w:t>　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第二十条第（五）项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szCs w:val="21"/>
              </w:rPr>
            </w:pPr>
            <w:r>
              <w:rPr>
                <w:rFonts w:hint="eastAsia" w:ascii="仿宋_GB2312" w:hAnsi="宋体" w:eastAsia="仿宋_GB2312" w:cs="宋体"/>
                <w:color w:val="00000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szCs w:val="21"/>
              </w:rPr>
            </w:pPr>
            <w:r>
              <w:rPr>
                <w:rFonts w:hint="eastAsia" w:ascii="仿宋_GB2312" w:hAnsi="宋体" w:eastAsia="仿宋_GB2312" w:cs="宋体"/>
                <w:color w:val="00000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行政许可</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Calibri" w:eastAsia="仿宋_GB2312" w:cs="Calibri"/>
                <w:color w:val="000000"/>
                <w:szCs w:val="21"/>
              </w:rPr>
            </w:pPr>
            <w:r>
              <w:rPr>
                <w:rFonts w:hint="eastAsia" w:ascii="仿宋_GB2312" w:hAnsi="Calibri" w:eastAsia="仿宋_GB2312" w:cs="Calibri"/>
                <w:color w:val="000000"/>
                <w:szCs w:val="21"/>
              </w:rPr>
              <w:t>　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第二十条第（六）项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szCs w:val="21"/>
              </w:rPr>
            </w:pPr>
            <w:r>
              <w:rPr>
                <w:rFonts w:hint="eastAsia" w:ascii="仿宋_GB2312" w:hAnsi="宋体" w:eastAsia="仿宋_GB2312" w:cs="宋体"/>
                <w:color w:val="00000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szCs w:val="21"/>
              </w:rPr>
            </w:pPr>
            <w:r>
              <w:rPr>
                <w:rFonts w:hint="eastAsia" w:ascii="仿宋_GB2312" w:hAnsi="宋体" w:eastAsia="仿宋_GB2312" w:cs="宋体"/>
                <w:color w:val="000000"/>
                <w:szCs w:val="21"/>
              </w:rPr>
              <w:t>本年处理决定数量</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行政处罚</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　0</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行政强制</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　0</w:t>
            </w:r>
          </w:p>
        </w:tc>
      </w:tr>
      <w:tr>
        <w:tblPrEx>
          <w:tblCellMar>
            <w:top w:w="0" w:type="dxa"/>
            <w:left w:w="108" w:type="dxa"/>
            <w:bottom w:w="0" w:type="dxa"/>
            <w:right w:w="108" w:type="dxa"/>
          </w:tblCellMar>
        </w:tblPrEx>
        <w:trPr>
          <w:trHeight w:val="567" w:hRule="atLeast"/>
        </w:trPr>
        <w:tc>
          <w:tcPr>
            <w:tcW w:w="9060"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ascii="黑体" w:hAnsi="黑体" w:eastAsia="黑体" w:cs="宋体"/>
                <w:color w:val="000000"/>
                <w:szCs w:val="21"/>
              </w:rPr>
            </w:pPr>
            <w:r>
              <w:rPr>
                <w:rFonts w:hint="eastAsia" w:ascii="黑体" w:hAnsi="黑体" w:eastAsia="黑体" w:cs="宋体"/>
                <w:color w:val="000000"/>
                <w:szCs w:val="21"/>
              </w:rPr>
              <w:t>第二十条第（八）项</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仿宋_GB2312" w:hAnsi="宋体" w:eastAsia="仿宋_GB2312" w:cs="宋体"/>
                <w:color w:val="000000"/>
                <w:szCs w:val="21"/>
              </w:rPr>
            </w:pPr>
            <w:r>
              <w:rPr>
                <w:rFonts w:hint="eastAsia" w:ascii="仿宋_GB2312" w:hAnsi="宋体" w:eastAsia="仿宋_GB2312" w:cs="宋体"/>
                <w:color w:val="000000"/>
                <w:szCs w:val="21"/>
              </w:rPr>
              <w:t>信息内容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ascii="仿宋_GB2312" w:hAnsi="宋体" w:eastAsia="仿宋_GB2312" w:cs="宋体"/>
                <w:color w:val="000000"/>
                <w:szCs w:val="21"/>
              </w:rPr>
            </w:pPr>
            <w:r>
              <w:rPr>
                <w:rFonts w:hint="eastAsia" w:ascii="仿宋_GB2312" w:hAnsi="宋体" w:eastAsia="仿宋_GB2312" w:cs="宋体"/>
                <w:color w:val="000000"/>
                <w:szCs w:val="21"/>
              </w:rPr>
              <w:t>本年收费金额（单位：万元）</w:t>
            </w:r>
          </w:p>
        </w:tc>
      </w:tr>
      <w:tr>
        <w:tblPrEx>
          <w:tblCellMar>
            <w:top w:w="0" w:type="dxa"/>
            <w:left w:w="108" w:type="dxa"/>
            <w:bottom w:w="0" w:type="dxa"/>
            <w:right w:w="108" w:type="dxa"/>
          </w:tblCellMar>
        </w:tblPrEx>
        <w:trPr>
          <w:trHeight w:val="567" w:hRule="atLeast"/>
        </w:trPr>
        <w:tc>
          <w:tcPr>
            <w:tcW w:w="2265" w:type="dxa"/>
            <w:tcBorders>
              <w:top w:val="nil"/>
              <w:left w:val="single" w:color="auto" w:sz="8" w:space="0"/>
              <w:bottom w:val="single" w:color="auto" w:sz="8" w:space="0"/>
              <w:right w:val="single" w:color="auto" w:sz="8" w:space="0"/>
            </w:tcBorders>
            <w:shd w:val="clear" w:color="auto" w:fill="auto"/>
            <w:vAlign w:val="center"/>
          </w:tcPr>
          <w:p>
            <w:pPr>
              <w:widowControl/>
              <w:jc w:val="left"/>
              <w:rPr>
                <w:rFonts w:ascii="仿宋_GB2312" w:hAnsi="宋体" w:eastAsia="仿宋_GB2312" w:cs="宋体"/>
                <w:color w:val="000000"/>
                <w:szCs w:val="21"/>
              </w:rPr>
            </w:pPr>
            <w:r>
              <w:rPr>
                <w:rFonts w:hint="eastAsia" w:ascii="仿宋_GB2312" w:hAnsi="宋体" w:eastAsia="仿宋_GB2312" w:cs="宋体"/>
                <w:color w:val="000000"/>
                <w:szCs w:val="21"/>
              </w:rPr>
              <w:t>行政事业性收费</w:t>
            </w:r>
          </w:p>
        </w:tc>
        <w:tc>
          <w:tcPr>
            <w:tcW w:w="6795"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left"/>
              <w:rPr>
                <w:rFonts w:ascii="仿宋_GB2312" w:hAnsi="Calibri" w:eastAsia="仿宋_GB2312" w:cs="Calibri"/>
                <w:color w:val="000000"/>
                <w:szCs w:val="21"/>
              </w:rPr>
            </w:pPr>
            <w:r>
              <w:rPr>
                <w:rFonts w:hint="eastAsia" w:ascii="仿宋_GB2312" w:hAnsi="Calibri" w:eastAsia="仿宋_GB2312" w:cs="Calibri"/>
                <w:color w:val="000000"/>
                <w:szCs w:val="21"/>
              </w:rPr>
              <w:t>　0</w:t>
            </w:r>
          </w:p>
        </w:tc>
      </w:tr>
    </w:tbl>
    <w:p>
      <w:pPr>
        <w:spacing w:before="62" w:beforeLines="10" w:after="62" w:afterLines="10" w:line="600" w:lineRule="exact"/>
        <w:ind w:firstLine="624" w:firstLineChars="200"/>
        <w:rPr>
          <w:rFonts w:eastAsia="方正黑体简体"/>
          <w:b/>
          <w:sz w:val="32"/>
          <w:szCs w:val="32"/>
        </w:rPr>
      </w:pPr>
    </w:p>
    <w:p>
      <w:pPr>
        <w:spacing w:before="62" w:beforeLines="10" w:after="62" w:afterLines="10" w:line="600" w:lineRule="exact"/>
        <w:ind w:firstLine="624" w:firstLineChars="200"/>
        <w:rPr>
          <w:rFonts w:eastAsia="方正黑体简体"/>
          <w:b/>
          <w:sz w:val="32"/>
          <w:szCs w:val="32"/>
        </w:rPr>
      </w:pPr>
      <w:r>
        <w:rPr>
          <w:rFonts w:eastAsia="方正黑体简体"/>
          <w:b/>
          <w:sz w:val="32"/>
          <w:szCs w:val="32"/>
        </w:rPr>
        <w:t>三、收到和处理政府信息公开申请情况</w:t>
      </w:r>
    </w:p>
    <w:tbl>
      <w:tblPr>
        <w:tblStyle w:val="5"/>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pPr>
              <w:widowControl/>
              <w:jc w:val="center"/>
              <w:rPr>
                <w:rFonts w:ascii="楷体_GB2312" w:hAnsi="黑体" w:eastAsia="楷体_GB2312"/>
                <w:szCs w:val="21"/>
              </w:rPr>
            </w:pPr>
            <w:r>
              <w:rPr>
                <w:rFonts w:hint="eastAsia" w:ascii="楷体_GB2312" w:hAnsi="黑体" w:eastAsia="楷体_GB2312"/>
                <w:szCs w:val="21"/>
              </w:rPr>
              <w:t>（本列数据的勾稽关系为：第一项加第二项之和，</w:t>
            </w:r>
          </w:p>
          <w:p>
            <w:pPr>
              <w:widowControl/>
              <w:jc w:val="center"/>
              <w:rPr>
                <w:rFonts w:ascii="仿宋_GB2312" w:eastAsia="仿宋_GB2312"/>
                <w:szCs w:val="21"/>
              </w:rPr>
            </w:pPr>
            <w:r>
              <w:rPr>
                <w:rFonts w:hint="eastAsia" w:ascii="楷体_GB2312" w:hAnsi="黑体" w:eastAsia="楷体_GB2312"/>
                <w:szCs w:val="21"/>
              </w:rPr>
              <w:t>等于第三项加第四项之和）</w:t>
            </w:r>
          </w:p>
        </w:tc>
        <w:tc>
          <w:tcPr>
            <w:tcW w:w="4820" w:type="dxa"/>
            <w:gridSpan w:val="7"/>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pPr>
              <w:jc w:val="center"/>
              <w:rPr>
                <w:rFonts w:ascii="仿宋_GB2312" w:eastAsia="仿宋_GB2312"/>
                <w:szCs w:val="21"/>
              </w:rPr>
            </w:pPr>
          </w:p>
        </w:tc>
        <w:tc>
          <w:tcPr>
            <w:tcW w:w="829"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szCs w:val="21"/>
              </w:rPr>
              <w:t>自然人</w:t>
            </w:r>
          </w:p>
        </w:tc>
        <w:tc>
          <w:tcPr>
            <w:tcW w:w="3140" w:type="dxa"/>
            <w:gridSpan w:val="5"/>
            <w:shd w:val="clear" w:color="auto" w:fill="auto"/>
            <w:tcMar>
              <w:left w:w="108" w:type="dxa"/>
              <w:right w:w="108" w:type="dxa"/>
            </w:tcMar>
            <w:vAlign w:val="center"/>
          </w:tcPr>
          <w:p>
            <w:pPr>
              <w:widowControl/>
              <w:spacing w:line="320" w:lineRule="exact"/>
              <w:jc w:val="center"/>
              <w:rPr>
                <w:rFonts w:ascii="黑体" w:hAnsi="黑体" w:eastAsia="黑体"/>
                <w:szCs w:val="21"/>
              </w:rPr>
            </w:pPr>
            <w:r>
              <w:rPr>
                <w:rFonts w:hint="eastAsia" w:ascii="黑体" w:hAnsi="黑体" w:eastAsia="黑体"/>
                <w:szCs w:val="21"/>
              </w:rPr>
              <w:t>法人或其他组织</w:t>
            </w:r>
          </w:p>
        </w:tc>
        <w:tc>
          <w:tcPr>
            <w:tcW w:w="851" w:type="dxa"/>
            <w:vMerge w:val="restart"/>
            <w:shd w:val="clear" w:color="auto" w:fill="auto"/>
            <w:tcMar>
              <w:left w:w="108" w:type="dxa"/>
              <w:right w:w="108" w:type="dxa"/>
            </w:tcMar>
            <w:vAlign w:val="center"/>
          </w:tcPr>
          <w:p>
            <w:pPr>
              <w:widowControl/>
              <w:jc w:val="center"/>
              <w:rPr>
                <w:rFonts w:ascii="黑体" w:hAnsi="黑体" w:eastAsia="黑体"/>
                <w:szCs w:val="21"/>
              </w:rPr>
            </w:pPr>
            <w:r>
              <w:rPr>
                <w:rFonts w:hint="eastAsia" w:ascii="黑体" w:hAnsi="黑体" w:eastAsia="黑体"/>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pPr>
              <w:jc w:val="center"/>
              <w:rPr>
                <w:rFonts w:ascii="仿宋_GB2312" w:eastAsia="仿宋_GB2312"/>
                <w:szCs w:val="21"/>
              </w:rPr>
            </w:pPr>
          </w:p>
        </w:tc>
        <w:tc>
          <w:tcPr>
            <w:tcW w:w="829" w:type="dxa"/>
            <w:vMerge w:val="continue"/>
            <w:shd w:val="clear" w:color="auto" w:fill="auto"/>
            <w:tcMar>
              <w:left w:w="108" w:type="dxa"/>
              <w:right w:w="108" w:type="dxa"/>
            </w:tcMar>
            <w:vAlign w:val="center"/>
          </w:tcPr>
          <w:p>
            <w:pPr>
              <w:jc w:val="center"/>
              <w:rPr>
                <w:rFonts w:ascii="黑体" w:hAnsi="黑体" w:eastAsia="黑体"/>
                <w:szCs w:val="21"/>
              </w:rPr>
            </w:pPr>
          </w:p>
        </w:tc>
        <w:tc>
          <w:tcPr>
            <w:tcW w:w="567"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szCs w:val="21"/>
              </w:rPr>
              <w:t>商业企业</w:t>
            </w:r>
          </w:p>
        </w:tc>
        <w:tc>
          <w:tcPr>
            <w:tcW w:w="567"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szCs w:val="21"/>
              </w:rPr>
              <w:t>科研机构</w:t>
            </w:r>
          </w:p>
        </w:tc>
        <w:tc>
          <w:tcPr>
            <w:tcW w:w="731" w:type="dxa"/>
            <w:shd w:val="clear" w:color="auto" w:fill="auto"/>
            <w:tcMar>
              <w:left w:w="108" w:type="dxa"/>
              <w:right w:w="108" w:type="dxa"/>
            </w:tcMar>
            <w:vAlign w:val="center"/>
          </w:tcPr>
          <w:p>
            <w:pPr>
              <w:widowControl/>
              <w:spacing w:line="320" w:lineRule="exact"/>
              <w:ind w:left="-97" w:leftChars="-51" w:right="-97" w:rightChars="-51"/>
              <w:jc w:val="center"/>
              <w:rPr>
                <w:rFonts w:ascii="黑体" w:hAnsi="黑体" w:eastAsia="黑体"/>
                <w:szCs w:val="21"/>
              </w:rPr>
            </w:pPr>
            <w:r>
              <w:rPr>
                <w:rFonts w:hint="eastAsia" w:ascii="黑体" w:hAnsi="黑体" w:eastAsia="黑体"/>
                <w:szCs w:val="21"/>
              </w:rPr>
              <w:t>社会公益组织</w:t>
            </w:r>
          </w:p>
        </w:tc>
        <w:tc>
          <w:tcPr>
            <w:tcW w:w="708" w:type="dxa"/>
            <w:shd w:val="clear" w:color="auto" w:fill="auto"/>
            <w:tcMar>
              <w:left w:w="108" w:type="dxa"/>
              <w:right w:w="108" w:type="dxa"/>
            </w:tcMar>
            <w:vAlign w:val="center"/>
          </w:tcPr>
          <w:p>
            <w:pPr>
              <w:widowControl/>
              <w:spacing w:line="320" w:lineRule="exact"/>
              <w:ind w:left="-96" w:leftChars="-51" w:right="-97" w:rightChars="-51" w:hanging="1"/>
              <w:jc w:val="center"/>
              <w:rPr>
                <w:rFonts w:ascii="黑体" w:hAnsi="黑体" w:eastAsia="黑体"/>
                <w:szCs w:val="21"/>
              </w:rPr>
            </w:pPr>
            <w:r>
              <w:rPr>
                <w:rFonts w:hint="eastAsia" w:ascii="黑体" w:hAnsi="黑体" w:eastAsia="黑体"/>
                <w:szCs w:val="21"/>
              </w:rPr>
              <w:t>法律服务机构</w:t>
            </w:r>
          </w:p>
        </w:tc>
        <w:tc>
          <w:tcPr>
            <w:tcW w:w="567" w:type="dxa"/>
            <w:shd w:val="clear" w:color="auto" w:fill="auto"/>
            <w:tcMar>
              <w:left w:w="108" w:type="dxa"/>
              <w:right w:w="108" w:type="dxa"/>
            </w:tcMar>
            <w:vAlign w:val="center"/>
          </w:tcPr>
          <w:p>
            <w:pPr>
              <w:widowControl/>
              <w:spacing w:line="360" w:lineRule="exact"/>
              <w:ind w:left="-57" w:leftChars="-30" w:right="-122" w:rightChars="-64"/>
              <w:jc w:val="center"/>
              <w:rPr>
                <w:rFonts w:ascii="黑体" w:hAnsi="黑体" w:eastAsia="黑体"/>
                <w:szCs w:val="21"/>
              </w:rPr>
            </w:pPr>
            <w:r>
              <w:rPr>
                <w:rFonts w:hint="eastAsia" w:ascii="黑体" w:hAnsi="黑体" w:eastAsia="黑体"/>
                <w:szCs w:val="21"/>
              </w:rPr>
              <w:t>其他</w:t>
            </w:r>
          </w:p>
        </w:tc>
        <w:tc>
          <w:tcPr>
            <w:tcW w:w="851" w:type="dxa"/>
            <w:vMerge w:val="continue"/>
            <w:shd w:val="clear" w:color="auto" w:fill="auto"/>
            <w:tcMar>
              <w:left w:w="108" w:type="dxa"/>
              <w:right w:w="108" w:type="dxa"/>
            </w:tcMar>
            <w:vAlign w:val="center"/>
          </w:tcPr>
          <w:p>
            <w:pPr>
              <w:jc w:val="center"/>
              <w:rPr>
                <w:rFonts w:ascii="仿宋_GB2312"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szCs w:val="21"/>
              </w:rPr>
              <w:t>一、</w:t>
            </w:r>
            <w:bookmarkStart w:id="0" w:name="_Hlk66973412"/>
            <w:r>
              <w:rPr>
                <w:rFonts w:hint="eastAsia" w:ascii="黑体" w:hAnsi="黑体" w:eastAsia="黑体"/>
                <w:szCs w:val="21"/>
              </w:rPr>
              <w:t>本年新收政府信息公开申请数量</w:t>
            </w:r>
            <w:bookmarkEnd w:id="0"/>
          </w:p>
        </w:tc>
        <w:tc>
          <w:tcPr>
            <w:tcW w:w="829"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2</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szCs w:val="21"/>
              </w:rPr>
              <w:t>二、上年结转政府信息公开申请数量</w:t>
            </w:r>
          </w:p>
        </w:tc>
        <w:tc>
          <w:tcPr>
            <w:tcW w:w="829"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rPr>
                <w:rFonts w:ascii="黑体" w:hAnsi="黑体" w:eastAsia="黑体"/>
                <w:szCs w:val="21"/>
              </w:rPr>
            </w:pPr>
            <w:r>
              <w:rPr>
                <w:rFonts w:hint="eastAsia" w:ascii="黑体" w:hAnsi="黑体" w:eastAsia="黑体"/>
                <w:szCs w:val="21"/>
              </w:rPr>
              <w:t>三、本年度办理结果</w:t>
            </w: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szCs w:val="21"/>
              </w:rPr>
              <w:t>（一）予以公开</w:t>
            </w:r>
          </w:p>
        </w:tc>
        <w:tc>
          <w:tcPr>
            <w:tcW w:w="829"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2</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rPr>
                <w:rFonts w:ascii="黑体" w:hAnsi="黑体" w:eastAsia="黑体"/>
                <w:szCs w:val="21"/>
              </w:rPr>
            </w:pPr>
            <w:r>
              <w:rPr>
                <w:rFonts w:hint="eastAsia" w:ascii="黑体" w:hAnsi="黑体" w:eastAsia="黑体"/>
                <w:szCs w:val="21"/>
              </w:rPr>
              <w:t>（二）部分公开（</w:t>
            </w:r>
            <w:bookmarkStart w:id="1" w:name="_Hlk66973981"/>
            <w:r>
              <w:rPr>
                <w:rFonts w:hint="eastAsia" w:ascii="黑体" w:hAnsi="黑体" w:eastAsia="黑体"/>
                <w:szCs w:val="21"/>
              </w:rPr>
              <w:t>区分处理的，只计这一情形，不计其他情形</w:t>
            </w:r>
            <w:bookmarkEnd w:id="1"/>
            <w:r>
              <w:rPr>
                <w:rFonts w:hint="eastAsia" w:ascii="黑体" w:hAnsi="黑体" w:eastAsia="黑体"/>
                <w:szCs w:val="21"/>
              </w:rPr>
              <w:t>）</w:t>
            </w:r>
          </w:p>
        </w:tc>
        <w:tc>
          <w:tcPr>
            <w:tcW w:w="829"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szCs w:val="21"/>
              </w:rPr>
              <w:t>（三）不予公开</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1.属于国家秘密</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2.</w:t>
            </w:r>
            <w:bookmarkStart w:id="2" w:name="_Hlk66974104"/>
            <w:r>
              <w:rPr>
                <w:rFonts w:hint="eastAsia" w:ascii="仿宋_GB2312" w:hAnsi="黑体" w:eastAsia="仿宋_GB2312"/>
                <w:szCs w:val="21"/>
              </w:rPr>
              <w:t>其他法律行政法规禁止公开</w:t>
            </w:r>
            <w:bookmarkEnd w:id="2"/>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3.危及“三安全一稳定”</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4.</w:t>
            </w:r>
            <w:bookmarkStart w:id="3" w:name="_Hlk66974290"/>
            <w:r>
              <w:rPr>
                <w:rFonts w:hint="eastAsia" w:ascii="仿宋_GB2312" w:hAnsi="黑体" w:eastAsia="仿宋_GB2312"/>
                <w:szCs w:val="21"/>
              </w:rPr>
              <w:t>保护第三方合法权益</w:t>
            </w:r>
            <w:bookmarkEnd w:id="3"/>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5.属于三类内部事务信息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6.</w:t>
            </w:r>
            <w:bookmarkStart w:id="4" w:name="_Hlk66974555"/>
            <w:r>
              <w:rPr>
                <w:rFonts w:hint="eastAsia" w:ascii="仿宋_GB2312" w:hAnsi="黑体" w:eastAsia="仿宋_GB2312"/>
                <w:szCs w:val="21"/>
              </w:rPr>
              <w:t>属于四类过程性信息</w:t>
            </w:r>
            <w:bookmarkEnd w:id="4"/>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7.属于行政执法案卷</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8.</w:t>
            </w:r>
            <w:bookmarkStart w:id="5" w:name="_Hlk66975211"/>
            <w:r>
              <w:rPr>
                <w:rFonts w:hint="eastAsia" w:ascii="仿宋_GB2312" w:hAnsi="黑体" w:eastAsia="仿宋_GB2312"/>
                <w:szCs w:val="21"/>
              </w:rPr>
              <w:t>属于行政查询事项</w:t>
            </w:r>
            <w:bookmarkEnd w:id="5"/>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szCs w:val="21"/>
              </w:rPr>
              <w:t>（四）无法提供</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1.本机关不掌握相关政府信息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2.</w:t>
            </w:r>
            <w:bookmarkStart w:id="6" w:name="_Hlk66975392"/>
            <w:r>
              <w:rPr>
                <w:rFonts w:hint="eastAsia" w:ascii="仿宋_GB2312" w:hAnsi="黑体" w:eastAsia="仿宋_GB2312"/>
                <w:szCs w:val="21"/>
              </w:rPr>
              <w:t>没有现成信息需要另行制作</w:t>
            </w:r>
            <w:bookmarkEnd w:id="6"/>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ind w:left="-97" w:leftChars="-51"/>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3.</w:t>
            </w:r>
            <w:bookmarkStart w:id="7" w:name="_Hlk66975466"/>
            <w:r>
              <w:rPr>
                <w:rFonts w:hint="eastAsia" w:ascii="仿宋_GB2312" w:hAnsi="黑体" w:eastAsia="仿宋_GB2312"/>
                <w:szCs w:val="21"/>
              </w:rPr>
              <w:t>补正后申请内容仍不明确</w:t>
            </w:r>
            <w:bookmarkEnd w:id="7"/>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200" w:lineRule="exact"/>
              <w:ind w:left="-97" w:leftChars="-51"/>
              <w:rPr>
                <w:rFonts w:ascii="黑体" w:hAnsi="黑体" w:eastAsia="黑体"/>
                <w:szCs w:val="21"/>
              </w:rPr>
            </w:pPr>
            <w:r>
              <w:rPr>
                <w:rFonts w:hint="eastAsia" w:ascii="黑体" w:hAnsi="黑体" w:eastAsia="黑体"/>
                <w:szCs w:val="21"/>
              </w:rPr>
              <w:t>（五）不予处理</w:t>
            </w: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1.</w:t>
            </w:r>
            <w:bookmarkStart w:id="8" w:name="_Hlk66975537"/>
            <w:r>
              <w:rPr>
                <w:rFonts w:hint="eastAsia" w:ascii="仿宋_GB2312" w:hAnsi="黑体" w:eastAsia="仿宋_GB2312"/>
                <w:szCs w:val="21"/>
              </w:rPr>
              <w:t>信访举报投诉类申请</w:t>
            </w:r>
            <w:bookmarkEnd w:id="8"/>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2.重复申请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3.要求提供公开出版物</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200" w:lineRule="exact"/>
              <w:rPr>
                <w:rFonts w:ascii="仿宋_GB2312" w:hAnsi="黑体" w:eastAsia="仿宋_GB2312"/>
                <w:szCs w:val="21"/>
              </w:rPr>
            </w:pPr>
            <w:r>
              <w:rPr>
                <w:rFonts w:hint="eastAsia" w:ascii="仿宋_GB2312" w:hAnsi="黑体" w:eastAsia="仿宋_GB2312"/>
                <w:szCs w:val="21"/>
              </w:rPr>
              <w:t>4.无正当理由大量反复申请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spacing w:line="200" w:lineRule="exact"/>
              <w:rPr>
                <w:rFonts w:ascii="黑体" w:hAnsi="黑体" w:eastAsia="黑体"/>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szCs w:val="21"/>
              </w:rPr>
            </w:pPr>
            <w:r>
              <w:rPr>
                <w:rFonts w:hint="eastAsia" w:ascii="仿宋_GB2312" w:hAnsi="黑体" w:eastAsia="仿宋_GB2312"/>
                <w:szCs w:val="21"/>
              </w:rPr>
              <w:t>5.要求行政机关确认或重新</w:t>
            </w:r>
          </w:p>
          <w:p>
            <w:pPr>
              <w:widowControl/>
              <w:spacing w:line="300" w:lineRule="exact"/>
              <w:ind w:firstLine="192" w:firstLineChars="100"/>
              <w:rPr>
                <w:rFonts w:ascii="仿宋_GB2312" w:hAnsi="黑体" w:eastAsia="仿宋_GB2312"/>
                <w:szCs w:val="21"/>
              </w:rPr>
            </w:pPr>
            <w:r>
              <w:rPr>
                <w:rFonts w:hint="eastAsia" w:ascii="仿宋_GB2312" w:hAnsi="黑体" w:eastAsia="仿宋_GB2312"/>
                <w:szCs w:val="21"/>
              </w:rPr>
              <w:t>出具已获取信息</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restart"/>
            <w:shd w:val="clear" w:color="auto" w:fill="auto"/>
            <w:tcMar>
              <w:left w:w="108" w:type="dxa"/>
              <w:right w:w="108" w:type="dxa"/>
            </w:tcMar>
            <w:vAlign w:val="center"/>
          </w:tcPr>
          <w:p>
            <w:pPr>
              <w:widowControl/>
              <w:spacing w:line="300" w:lineRule="exact"/>
              <w:rPr>
                <w:rFonts w:ascii="黑体" w:hAnsi="黑体" w:eastAsia="黑体"/>
                <w:szCs w:val="21"/>
              </w:rPr>
            </w:pPr>
            <w:r>
              <w:rPr>
                <w:rFonts w:hint="eastAsia" w:ascii="黑体" w:hAnsi="黑体" w:eastAsia="黑体"/>
                <w:szCs w:val="21"/>
              </w:rPr>
              <w:t>（六）其他处理</w:t>
            </w:r>
          </w:p>
        </w:tc>
        <w:tc>
          <w:tcPr>
            <w:tcW w:w="2976" w:type="dxa"/>
            <w:shd w:val="clear" w:color="auto" w:fill="auto"/>
            <w:vAlign w:val="center"/>
          </w:tcPr>
          <w:p>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szCs w:val="21"/>
              </w:rPr>
            </w:pPr>
          </w:p>
        </w:tc>
        <w:tc>
          <w:tcPr>
            <w:tcW w:w="2976" w:type="dxa"/>
            <w:shd w:val="clear" w:color="auto" w:fill="auto"/>
            <w:vAlign w:val="center"/>
          </w:tcPr>
          <w:p>
            <w:pPr>
              <w:widowControl/>
              <w:spacing w:line="300" w:lineRule="exact"/>
              <w:rPr>
                <w:rFonts w:ascii="仿宋_GB2312" w:hAnsi="黑体" w:eastAsia="仿宋_GB2312"/>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1701" w:type="dxa"/>
            <w:vMerge w:val="continue"/>
            <w:shd w:val="clear" w:color="auto" w:fill="auto"/>
            <w:tcMar>
              <w:left w:w="108" w:type="dxa"/>
              <w:right w:w="108" w:type="dxa"/>
            </w:tcMar>
            <w:vAlign w:val="center"/>
          </w:tcPr>
          <w:p>
            <w:pPr>
              <w:widowControl/>
              <w:spacing w:line="300" w:lineRule="exact"/>
              <w:rPr>
                <w:rFonts w:ascii="黑体" w:hAnsi="黑体" w:eastAsia="黑体"/>
                <w:szCs w:val="21"/>
              </w:rPr>
            </w:pPr>
          </w:p>
        </w:tc>
        <w:tc>
          <w:tcPr>
            <w:tcW w:w="2976" w:type="dxa"/>
            <w:shd w:val="clear" w:color="auto" w:fill="auto"/>
            <w:vAlign w:val="center"/>
          </w:tcPr>
          <w:p>
            <w:pPr>
              <w:widowControl/>
              <w:spacing w:line="300" w:lineRule="exact"/>
              <w:rPr>
                <w:rFonts w:ascii="仿宋_GB2312" w:hAnsi="黑体" w:eastAsia="仿宋_GB2312"/>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rPr>
                <w:rFonts w:ascii="黑体" w:hAnsi="黑体" w:eastAsia="黑体"/>
                <w:szCs w:val="21"/>
              </w:rPr>
            </w:pPr>
          </w:p>
        </w:tc>
        <w:tc>
          <w:tcPr>
            <w:tcW w:w="4677" w:type="dxa"/>
            <w:gridSpan w:val="2"/>
            <w:shd w:val="clear" w:color="auto" w:fill="auto"/>
            <w:tcMar>
              <w:left w:w="108" w:type="dxa"/>
              <w:right w:w="108" w:type="dxa"/>
            </w:tcMar>
            <w:vAlign w:val="center"/>
          </w:tcPr>
          <w:p>
            <w:pPr>
              <w:widowControl/>
              <w:spacing w:line="300" w:lineRule="exact"/>
              <w:rPr>
                <w:rFonts w:ascii="黑体" w:hAnsi="黑体" w:eastAsia="黑体"/>
                <w:szCs w:val="21"/>
              </w:rPr>
            </w:pPr>
            <w:r>
              <w:rPr>
                <w:rFonts w:hint="eastAsia" w:ascii="黑体" w:hAnsi="黑体" w:eastAsia="黑体"/>
                <w:szCs w:val="21"/>
              </w:rPr>
              <w:t>（七）总计</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ascii="仿宋_GB2312" w:eastAsia="仿宋_GB2312"/>
                <w:szCs w:val="21"/>
              </w:rPr>
              <w:t>2</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pPr>
              <w:widowControl/>
              <w:spacing w:line="300" w:lineRule="exact"/>
              <w:rPr>
                <w:rFonts w:ascii="黑体" w:hAnsi="黑体" w:eastAsia="黑体"/>
                <w:szCs w:val="21"/>
              </w:rPr>
            </w:pPr>
            <w:r>
              <w:rPr>
                <w:rFonts w:hint="eastAsia" w:ascii="黑体" w:hAnsi="黑体" w:eastAsia="黑体"/>
                <w:szCs w:val="21"/>
              </w:rPr>
              <w:t>四、结转下年度继续办理</w:t>
            </w:r>
          </w:p>
        </w:tc>
        <w:tc>
          <w:tcPr>
            <w:tcW w:w="829"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line="200" w:lineRule="exact"/>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3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708"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567"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c>
          <w:tcPr>
            <w:tcW w:w="851" w:type="dxa"/>
            <w:shd w:val="clear" w:color="auto" w:fill="auto"/>
            <w:tcMar>
              <w:left w:w="108" w:type="dxa"/>
              <w:right w:w="108" w:type="dxa"/>
            </w:tcMar>
            <w:vAlign w:val="center"/>
          </w:tcPr>
          <w:p>
            <w:pPr>
              <w:widowControl/>
              <w:spacing w:after="180"/>
              <w:jc w:val="center"/>
              <w:rPr>
                <w:rFonts w:ascii="仿宋_GB2312" w:eastAsia="仿宋_GB2312"/>
                <w:szCs w:val="21"/>
              </w:rPr>
            </w:pPr>
            <w:r>
              <w:rPr>
                <w:rFonts w:hint="eastAsia" w:ascii="仿宋_GB2312" w:eastAsia="仿宋_GB2312"/>
                <w:szCs w:val="21"/>
              </w:rPr>
              <w:t>0</w:t>
            </w:r>
          </w:p>
        </w:tc>
      </w:tr>
    </w:tbl>
    <w:p>
      <w:pPr>
        <w:spacing w:line="590" w:lineRule="exact"/>
        <w:ind w:right="-96" w:rightChars="-50" w:firstLine="624" w:firstLineChars="200"/>
        <w:rPr>
          <w:rFonts w:eastAsia="方正黑体简体"/>
          <w:b/>
          <w:sz w:val="32"/>
          <w:szCs w:val="32"/>
        </w:rPr>
      </w:pPr>
    </w:p>
    <w:p>
      <w:pPr>
        <w:spacing w:line="590" w:lineRule="exact"/>
        <w:ind w:right="-96" w:rightChars="-50" w:firstLine="624" w:firstLineChars="200"/>
        <w:rPr>
          <w:rFonts w:eastAsia="方正黑体简体"/>
          <w:b/>
          <w:sz w:val="32"/>
          <w:szCs w:val="32"/>
        </w:rPr>
      </w:pPr>
      <w:r>
        <w:rPr>
          <w:rFonts w:eastAsia="方正黑体简体"/>
          <w:b/>
          <w:sz w:val="32"/>
          <w:szCs w:val="32"/>
        </w:rPr>
        <w:t>四、政府信息公开行政复议、行政诉讼情况</w:t>
      </w:r>
    </w:p>
    <w:tbl>
      <w:tblPr>
        <w:tblStyle w:val="5"/>
        <w:tblW w:w="982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911"/>
        <w:gridCol w:w="604"/>
        <w:gridCol w:w="604"/>
        <w:gridCol w:w="604"/>
        <w:gridCol w:w="658"/>
        <w:gridCol w:w="550"/>
        <w:gridCol w:w="605"/>
        <w:gridCol w:w="605"/>
        <w:gridCol w:w="605"/>
        <w:gridCol w:w="605"/>
        <w:gridCol w:w="605"/>
        <w:gridCol w:w="605"/>
        <w:gridCol w:w="605"/>
        <w:gridCol w:w="606"/>
        <w:gridCol w:w="105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381"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szCs w:val="20"/>
              </w:rPr>
              <w:t>行政复议</w:t>
            </w:r>
          </w:p>
        </w:tc>
        <w:tc>
          <w:tcPr>
            <w:tcW w:w="644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91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36" w:leftChars="-71" w:right="-155" w:rightChars="-81"/>
              <w:jc w:val="center"/>
              <w:rPr>
                <w:rFonts w:ascii="黑体" w:hAnsi="黑体" w:eastAsia="黑体"/>
                <w:szCs w:val="20"/>
              </w:rPr>
            </w:pPr>
            <w:r>
              <w:rPr>
                <w:rFonts w:ascii="黑体" w:hAnsi="黑体" w:eastAsia="黑体"/>
                <w:szCs w:val="20"/>
              </w:rPr>
              <w:t>结果</w:t>
            </w:r>
          </w:p>
          <w:p>
            <w:pPr>
              <w:widowControl/>
              <w:ind w:left="-136" w:leftChars="-71" w:right="-155" w:rightChars="-81"/>
              <w:jc w:val="center"/>
              <w:rPr>
                <w:rFonts w:ascii="黑体" w:hAnsi="黑体" w:eastAsia="黑体"/>
              </w:rPr>
            </w:pPr>
            <w:r>
              <w:rPr>
                <w:rFonts w:ascii="黑体" w:hAnsi="黑体" w:eastAsia="黑体"/>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39" w:leftChars="-21" w:right="-120" w:rightChars="-63" w:hanging="1"/>
              <w:jc w:val="center"/>
              <w:rPr>
                <w:rFonts w:ascii="黑体" w:hAnsi="黑体" w:eastAsia="黑体"/>
              </w:rPr>
            </w:pPr>
            <w:r>
              <w:rPr>
                <w:rFonts w:ascii="黑体" w:hAnsi="黑体" w:eastAsia="黑体"/>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74" w:leftChars="-39" w:right="-88" w:rightChars="-46"/>
              <w:jc w:val="center"/>
              <w:rPr>
                <w:rFonts w:ascii="黑体" w:hAnsi="黑体" w:eastAsia="黑体"/>
              </w:rPr>
            </w:pPr>
            <w:r>
              <w:rPr>
                <w:rFonts w:ascii="黑体" w:hAnsi="黑体" w:eastAsia="黑体"/>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07" w:leftChars="-56" w:right="-107" w:rightChars="-56"/>
              <w:jc w:val="center"/>
              <w:rPr>
                <w:rFonts w:ascii="黑体" w:hAnsi="黑体" w:eastAsia="黑体"/>
                <w:szCs w:val="20"/>
              </w:rPr>
            </w:pPr>
            <w:r>
              <w:rPr>
                <w:rFonts w:ascii="黑体" w:hAnsi="黑体" w:eastAsia="黑体"/>
                <w:szCs w:val="20"/>
              </w:rPr>
              <w:t>尚未</w:t>
            </w:r>
          </w:p>
          <w:p>
            <w:pPr>
              <w:widowControl/>
              <w:ind w:left="-107" w:leftChars="-56" w:right="-107" w:rightChars="-56"/>
              <w:jc w:val="center"/>
              <w:rPr>
                <w:rFonts w:ascii="黑体" w:hAnsi="黑体" w:eastAsia="黑体"/>
              </w:rPr>
            </w:pPr>
            <w:r>
              <w:rPr>
                <w:rFonts w:ascii="黑体" w:hAnsi="黑体" w:eastAsia="黑体"/>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szCs w:val="20"/>
              </w:rPr>
            </w:pPr>
            <w:r>
              <w:rPr>
                <w:rFonts w:ascii="黑体" w:hAnsi="黑体" w:eastAsia="黑体"/>
                <w:szCs w:val="20"/>
              </w:rPr>
              <w:t>总</w:t>
            </w:r>
          </w:p>
          <w:p>
            <w:pPr>
              <w:widowControl/>
              <w:spacing w:line="320" w:lineRule="exact"/>
              <w:jc w:val="center"/>
              <w:rPr>
                <w:rFonts w:ascii="黑体" w:hAnsi="黑体" w:eastAsia="黑体"/>
              </w:rPr>
            </w:pPr>
            <w:r>
              <w:rPr>
                <w:rFonts w:ascii="黑体" w:hAnsi="黑体" w:eastAsia="黑体"/>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szCs w:val="20"/>
              </w:rPr>
              <w:t>未经复议直接起诉</w:t>
            </w:r>
          </w:p>
        </w:tc>
        <w:tc>
          <w:tcPr>
            <w:tcW w:w="3473"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bookmarkStart w:id="9" w:name="_Hlk67039688"/>
            <w:r>
              <w:rPr>
                <w:rFonts w:ascii="黑体" w:hAnsi="黑体" w:eastAsia="黑体"/>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91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96" w:leftChars="-50" w:right="-115" w:rightChars="-60"/>
              <w:jc w:val="center"/>
              <w:rPr>
                <w:rFonts w:ascii="黑体" w:hAnsi="黑体" w:eastAsia="黑体"/>
              </w:rPr>
            </w:pPr>
            <w:r>
              <w:rPr>
                <w:rFonts w:ascii="黑体" w:hAnsi="黑体" w:eastAsia="黑体"/>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78" w:leftChars="-41" w:right="-80" w:rightChars="-42"/>
              <w:jc w:val="center"/>
              <w:rPr>
                <w:rFonts w:ascii="黑体" w:hAnsi="黑体" w:eastAsia="黑体"/>
              </w:rPr>
            </w:pPr>
            <w:r>
              <w:rPr>
                <w:rFonts w:ascii="黑体" w:hAnsi="黑体" w:eastAsia="黑体"/>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5" w:leftChars="-60" w:right="-124" w:rightChars="-65"/>
              <w:jc w:val="center"/>
              <w:rPr>
                <w:rFonts w:ascii="黑体" w:hAnsi="黑体" w:eastAsia="黑体"/>
                <w:szCs w:val="20"/>
              </w:rPr>
            </w:pPr>
            <w:r>
              <w:rPr>
                <w:rFonts w:ascii="黑体" w:hAnsi="黑体" w:eastAsia="黑体"/>
                <w:szCs w:val="20"/>
              </w:rPr>
              <w:t>其他</w:t>
            </w:r>
          </w:p>
          <w:p>
            <w:pPr>
              <w:widowControl/>
              <w:ind w:left="-115" w:leftChars="-60" w:right="-124" w:rightChars="-65"/>
              <w:jc w:val="center"/>
              <w:rPr>
                <w:rFonts w:ascii="黑体" w:hAnsi="黑体" w:eastAsia="黑体"/>
              </w:rPr>
            </w:pPr>
            <w:r>
              <w:rPr>
                <w:rFonts w:ascii="黑体" w:hAnsi="黑体" w:eastAsia="黑体"/>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49" w:leftChars="-78" w:right="-140" w:rightChars="-73"/>
              <w:jc w:val="center"/>
              <w:rPr>
                <w:rFonts w:ascii="黑体" w:hAnsi="黑体" w:eastAsia="黑体"/>
                <w:szCs w:val="20"/>
              </w:rPr>
            </w:pPr>
            <w:r>
              <w:rPr>
                <w:rFonts w:ascii="黑体" w:hAnsi="黑体" w:eastAsia="黑体"/>
                <w:szCs w:val="20"/>
              </w:rPr>
              <w:t>尚未</w:t>
            </w:r>
          </w:p>
          <w:p>
            <w:pPr>
              <w:widowControl/>
              <w:ind w:left="-149" w:leftChars="-78" w:right="-140" w:rightChars="-73"/>
              <w:jc w:val="center"/>
              <w:rPr>
                <w:rFonts w:ascii="黑体" w:hAnsi="黑体" w:eastAsia="黑体"/>
              </w:rPr>
            </w:pPr>
            <w:r>
              <w:rPr>
                <w:rFonts w:ascii="黑体" w:hAnsi="黑体" w:eastAsia="黑体"/>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0" w:leftChars="-47" w:right="-71" w:rightChars="-37"/>
              <w:jc w:val="center"/>
              <w:rPr>
                <w:rFonts w:ascii="黑体" w:hAnsi="黑体" w:eastAsia="黑体"/>
              </w:rPr>
            </w:pPr>
            <w:r>
              <w:rPr>
                <w:rFonts w:ascii="黑体" w:hAnsi="黑体" w:eastAsia="黑体"/>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4" w:leftChars="-65" w:right="-113" w:rightChars="-59"/>
              <w:jc w:val="center"/>
              <w:rPr>
                <w:rFonts w:ascii="黑体" w:hAnsi="黑体" w:eastAsia="黑体"/>
                <w:szCs w:val="20"/>
              </w:rPr>
            </w:pPr>
            <w:r>
              <w:rPr>
                <w:rFonts w:ascii="黑体" w:hAnsi="黑体" w:eastAsia="黑体"/>
                <w:szCs w:val="20"/>
              </w:rPr>
              <w:t>结果</w:t>
            </w:r>
          </w:p>
          <w:p>
            <w:pPr>
              <w:widowControl/>
              <w:ind w:left="-124" w:leftChars="-65" w:right="-113" w:rightChars="-59"/>
              <w:jc w:val="center"/>
              <w:rPr>
                <w:rFonts w:ascii="黑体" w:hAnsi="黑体" w:eastAsia="黑体"/>
              </w:rPr>
            </w:pPr>
            <w:r>
              <w:rPr>
                <w:rFonts w:ascii="黑体" w:hAnsi="黑体" w:eastAsia="黑体"/>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58" w:leftChars="-83" w:right="-122" w:rightChars="-64" w:hanging="1"/>
              <w:jc w:val="center"/>
              <w:rPr>
                <w:rFonts w:ascii="黑体" w:hAnsi="黑体" w:eastAsia="黑体"/>
                <w:szCs w:val="20"/>
              </w:rPr>
            </w:pPr>
            <w:r>
              <w:rPr>
                <w:rFonts w:ascii="黑体" w:hAnsi="黑体" w:eastAsia="黑体"/>
                <w:szCs w:val="20"/>
              </w:rPr>
              <w:t>其他</w:t>
            </w:r>
          </w:p>
          <w:p>
            <w:pPr>
              <w:widowControl/>
              <w:ind w:left="-158" w:leftChars="-83" w:right="-122" w:rightChars="-64" w:hanging="1"/>
              <w:jc w:val="center"/>
              <w:rPr>
                <w:rFonts w:ascii="黑体" w:hAnsi="黑体" w:eastAsia="黑体"/>
              </w:rPr>
            </w:pPr>
            <w:r>
              <w:rPr>
                <w:rFonts w:ascii="黑体" w:hAnsi="黑体" w:eastAsia="黑体"/>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1" w:leftChars="-33" w:right="-96" w:rightChars="-50" w:hanging="2" w:hangingChars="1"/>
              <w:jc w:val="center"/>
              <w:rPr>
                <w:rFonts w:ascii="黑体" w:hAnsi="黑体" w:eastAsia="黑体"/>
              </w:rPr>
            </w:pPr>
            <w:r>
              <w:rPr>
                <w:rFonts w:ascii="黑体" w:hAnsi="黑体" w:eastAsia="黑体"/>
                <w:szCs w:val="20"/>
              </w:rPr>
              <w:t>尚未审结</w:t>
            </w:r>
          </w:p>
        </w:tc>
        <w:tc>
          <w:tcPr>
            <w:tcW w:w="105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rPr>
            </w:pPr>
            <w:r>
              <w:rPr>
                <w:rFonts w:ascii="黑体" w:hAnsi="黑体" w:eastAsia="黑体"/>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c>
          <w:tcPr>
            <w:tcW w:w="1052"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center"/>
            </w:pPr>
            <w:r>
              <w:rPr>
                <w:rFonts w:hint="eastAsia"/>
              </w:rPr>
              <w:t>0</w:t>
            </w:r>
          </w:p>
        </w:tc>
      </w:tr>
    </w:tbl>
    <w:p>
      <w:pPr>
        <w:spacing w:line="590" w:lineRule="exact"/>
        <w:ind w:right="-96" w:rightChars="-50"/>
        <w:rPr>
          <w:rFonts w:eastAsia="方正黑体简体"/>
          <w:b/>
          <w:sz w:val="32"/>
          <w:szCs w:val="32"/>
        </w:rPr>
      </w:pPr>
    </w:p>
    <w:p>
      <w:pPr>
        <w:spacing w:line="590" w:lineRule="exact"/>
        <w:ind w:right="-96" w:rightChars="-50" w:firstLine="624" w:firstLineChars="200"/>
        <w:rPr>
          <w:rFonts w:eastAsia="方正黑体简体"/>
          <w:b/>
          <w:sz w:val="32"/>
          <w:szCs w:val="32"/>
        </w:rPr>
      </w:pPr>
      <w:r>
        <w:rPr>
          <w:rFonts w:eastAsia="方正黑体简体"/>
          <w:b/>
          <w:sz w:val="32"/>
          <w:szCs w:val="32"/>
        </w:rPr>
        <w:t>五、存在的主要问题及改进情况</w:t>
      </w:r>
    </w:p>
    <w:p>
      <w:pPr>
        <w:spacing w:line="590" w:lineRule="exact"/>
        <w:ind w:right="-96" w:rightChars="-50" w:firstLine="624" w:firstLineChars="200"/>
        <w:rPr>
          <w:rFonts w:eastAsia="方正仿宋简体"/>
          <w:b/>
          <w:sz w:val="32"/>
          <w:szCs w:val="32"/>
        </w:rPr>
      </w:pPr>
      <w:r>
        <w:rPr>
          <w:rFonts w:hint="eastAsia" w:eastAsia="方正仿宋简体"/>
          <w:b/>
          <w:sz w:val="32"/>
          <w:szCs w:val="32"/>
        </w:rPr>
        <w:t>今年以来，我局在政务公开方面取得了一些进展，但与社会公众的需求仍存在一定差距，主要表现为：一是未建立政务公开信息反馈制度。二是公开资料管理不够规范，未装订成册、立卷归档。</w:t>
      </w:r>
    </w:p>
    <w:p>
      <w:pPr>
        <w:spacing w:line="590" w:lineRule="exact"/>
        <w:ind w:right="-96" w:rightChars="-50" w:firstLine="624" w:firstLineChars="200"/>
        <w:rPr>
          <w:rFonts w:eastAsia="方正仿宋简体"/>
          <w:b/>
          <w:sz w:val="32"/>
          <w:szCs w:val="32"/>
        </w:rPr>
      </w:pPr>
      <w:r>
        <w:rPr>
          <w:rFonts w:hint="eastAsia" w:eastAsia="方正仿宋简体"/>
          <w:b/>
          <w:sz w:val="32"/>
          <w:szCs w:val="32"/>
        </w:rPr>
        <w:t>下一步工作中，我局将建立健全信息反馈制度。加强学习《中华人民共和国政府信息公开条例》等有关政务公开的法律、法规和政策，使其充分认识到政务公开的重要性和紧迫性，消除认识上的误区和片面性。</w:t>
      </w:r>
    </w:p>
    <w:p>
      <w:pPr>
        <w:spacing w:line="590" w:lineRule="exact"/>
        <w:ind w:right="-96" w:rightChars="-50" w:firstLine="624" w:firstLineChars="200"/>
        <w:rPr>
          <w:rFonts w:eastAsia="方正黑体简体"/>
          <w:b/>
          <w:sz w:val="32"/>
          <w:szCs w:val="32"/>
        </w:rPr>
      </w:pPr>
      <w:r>
        <w:rPr>
          <w:rFonts w:eastAsia="方正黑体简体"/>
          <w:b/>
          <w:sz w:val="32"/>
          <w:szCs w:val="32"/>
        </w:rPr>
        <w:t>六、其他需要报告的事项</w:t>
      </w:r>
    </w:p>
    <w:p>
      <w:pPr>
        <w:spacing w:line="590" w:lineRule="exact"/>
        <w:ind w:right="-96" w:rightChars="-50" w:firstLine="624" w:firstLineChars="200"/>
        <w:rPr>
          <w:rFonts w:eastAsia="方正仿宋简体"/>
          <w:b/>
          <w:sz w:val="32"/>
          <w:szCs w:val="32"/>
        </w:rPr>
      </w:pPr>
      <w:r>
        <w:rPr>
          <w:rFonts w:eastAsia="方正仿宋简体"/>
          <w:b/>
          <w:sz w:val="32"/>
          <w:szCs w:val="32"/>
        </w:rPr>
        <w:t>（一）依据《政府信息公开信息处理费管理办法》收取信息处理费的情况;</w:t>
      </w:r>
    </w:p>
    <w:p>
      <w:pPr>
        <w:spacing w:line="590" w:lineRule="exact"/>
        <w:ind w:right="-96" w:rightChars="-50" w:firstLine="624" w:firstLineChars="200"/>
        <w:rPr>
          <w:rFonts w:eastAsia="方正仿宋简体"/>
          <w:b/>
          <w:sz w:val="32"/>
          <w:szCs w:val="32"/>
        </w:rPr>
      </w:pPr>
      <w:r>
        <w:rPr>
          <w:rFonts w:eastAsia="方正仿宋简体"/>
          <w:b/>
          <w:sz w:val="32"/>
          <w:szCs w:val="32"/>
        </w:rPr>
        <w:t>2</w:t>
      </w:r>
      <w:r>
        <w:rPr>
          <w:rFonts w:hint="eastAsia" w:eastAsia="方正仿宋简体"/>
          <w:b/>
          <w:sz w:val="32"/>
          <w:szCs w:val="32"/>
        </w:rPr>
        <w:t>02</w:t>
      </w:r>
      <w:r>
        <w:rPr>
          <w:rFonts w:eastAsia="方正仿宋简体"/>
          <w:b/>
          <w:sz w:val="32"/>
          <w:szCs w:val="32"/>
        </w:rPr>
        <w:t>3</w:t>
      </w:r>
      <w:r>
        <w:rPr>
          <w:rFonts w:hint="eastAsia" w:eastAsia="方正仿宋简体"/>
          <w:b/>
          <w:sz w:val="32"/>
          <w:szCs w:val="32"/>
        </w:rPr>
        <w:t>年，曲阜市司法局严格落实《国务院办公厅关于印发&lt;政府信息公开信息处理费管理办法&gt;的通知》（国办函〔2020〕109号）和《山东省人民政府办公厅关于做好政府信息公开信息处理费管理工作有关事项的通知》（鲁政办字〔2020〕179号）规定的按件、按量收费标准收取信息处理费。政府信息公开申请未向申请人收取任何费用。</w:t>
      </w:r>
    </w:p>
    <w:p>
      <w:pPr>
        <w:spacing w:line="590" w:lineRule="exact"/>
        <w:ind w:right="-96" w:rightChars="-50" w:firstLine="624" w:firstLineChars="200"/>
        <w:rPr>
          <w:rFonts w:eastAsia="方正仿宋简体"/>
          <w:b/>
          <w:sz w:val="32"/>
          <w:szCs w:val="32"/>
        </w:rPr>
      </w:pPr>
      <w:r>
        <w:rPr>
          <w:rFonts w:eastAsia="方正仿宋简体"/>
          <w:b/>
          <w:sz w:val="32"/>
          <w:szCs w:val="32"/>
        </w:rPr>
        <w:t>（</w:t>
      </w:r>
      <w:r>
        <w:rPr>
          <w:rFonts w:hint="eastAsia" w:eastAsia="方正仿宋简体"/>
          <w:b/>
          <w:sz w:val="32"/>
          <w:szCs w:val="32"/>
        </w:rPr>
        <w:t>二</w:t>
      </w:r>
      <w:r>
        <w:rPr>
          <w:rFonts w:eastAsia="方正仿宋简体"/>
          <w:b/>
          <w:sz w:val="32"/>
          <w:szCs w:val="32"/>
        </w:rPr>
        <w:t>）本行政机关年度政务公开工作创新情况；</w:t>
      </w:r>
    </w:p>
    <w:p>
      <w:pPr>
        <w:spacing w:line="590" w:lineRule="exact"/>
        <w:ind w:right="-96" w:rightChars="-50" w:firstLine="624" w:firstLineChars="200"/>
        <w:rPr>
          <w:rFonts w:eastAsia="方正仿宋简体"/>
          <w:b/>
          <w:sz w:val="32"/>
          <w:szCs w:val="32"/>
        </w:rPr>
      </w:pPr>
      <w:r>
        <w:rPr>
          <w:rFonts w:hint="eastAsia" w:eastAsia="方正仿宋简体"/>
          <w:b/>
          <w:sz w:val="32"/>
          <w:szCs w:val="32"/>
        </w:rPr>
        <w:t>202</w:t>
      </w:r>
      <w:r>
        <w:rPr>
          <w:rFonts w:eastAsia="方正仿宋简体"/>
          <w:b/>
          <w:sz w:val="32"/>
          <w:szCs w:val="32"/>
        </w:rPr>
        <w:t>3</w:t>
      </w:r>
      <w:r>
        <w:rPr>
          <w:rFonts w:hint="eastAsia" w:eastAsia="方正仿宋简体"/>
          <w:b/>
          <w:sz w:val="32"/>
          <w:szCs w:val="32"/>
        </w:rPr>
        <w:t>年，曲阜市司法局充分发挥微信公众号线上优势，积极宣传政府公开信息，做到及时，便捷，快速。线下通过公开栏积极宣传政府公开信息，做到线下和线上共同推进政府信息公开。</w:t>
      </w:r>
    </w:p>
    <w:p>
      <w:pPr>
        <w:spacing w:line="590" w:lineRule="exact"/>
        <w:ind w:right="-96" w:rightChars="-50" w:firstLine="624" w:firstLineChars="200"/>
        <w:rPr>
          <w:rFonts w:eastAsia="方正仿宋简体"/>
          <w:b/>
          <w:sz w:val="32"/>
          <w:szCs w:val="32"/>
        </w:rPr>
      </w:pPr>
      <w:r>
        <w:rPr>
          <w:rFonts w:eastAsia="方正仿宋简体"/>
          <w:b/>
          <w:sz w:val="32"/>
          <w:szCs w:val="32"/>
        </w:rPr>
        <w:t>（</w:t>
      </w:r>
      <w:r>
        <w:rPr>
          <w:rFonts w:hint="eastAsia" w:eastAsia="方正仿宋简体"/>
          <w:b/>
          <w:sz w:val="32"/>
          <w:szCs w:val="32"/>
        </w:rPr>
        <w:t>三</w:t>
      </w:r>
      <w:r>
        <w:rPr>
          <w:rFonts w:eastAsia="方正仿宋简体"/>
          <w:b/>
          <w:sz w:val="32"/>
          <w:szCs w:val="32"/>
        </w:rPr>
        <w:t>）本行政机关认为需要报告的其他事项；</w:t>
      </w:r>
    </w:p>
    <w:p>
      <w:pPr>
        <w:spacing w:line="590" w:lineRule="exact"/>
        <w:ind w:right="-96" w:rightChars="-50" w:firstLine="624" w:firstLineChars="200"/>
        <w:rPr>
          <w:rFonts w:eastAsia="方正仿宋简体"/>
          <w:b/>
          <w:sz w:val="32"/>
          <w:szCs w:val="32"/>
        </w:rPr>
      </w:pPr>
      <w:r>
        <w:rPr>
          <w:rFonts w:hint="eastAsia" w:eastAsia="方正仿宋简体"/>
          <w:b/>
          <w:sz w:val="32"/>
          <w:szCs w:val="32"/>
        </w:rPr>
        <w:t>曲阜市司法局无认为需要报告的其他事项。</w:t>
      </w:r>
    </w:p>
    <w:p>
      <w:pPr>
        <w:spacing w:line="590" w:lineRule="exact"/>
        <w:ind w:right="-96" w:rightChars="-50" w:firstLine="624" w:firstLineChars="200"/>
        <w:rPr>
          <w:rFonts w:eastAsia="方正仿宋简体"/>
          <w:b/>
          <w:sz w:val="32"/>
          <w:szCs w:val="32"/>
        </w:rPr>
      </w:pPr>
      <w:r>
        <w:rPr>
          <w:rFonts w:eastAsia="方正仿宋简体"/>
          <w:b/>
          <w:sz w:val="32"/>
          <w:szCs w:val="32"/>
        </w:rPr>
        <w:t>（</w:t>
      </w:r>
      <w:r>
        <w:rPr>
          <w:rFonts w:hint="eastAsia" w:eastAsia="方正仿宋简体"/>
          <w:b/>
          <w:sz w:val="32"/>
          <w:szCs w:val="32"/>
        </w:rPr>
        <w:t>四</w:t>
      </w:r>
      <w:r>
        <w:rPr>
          <w:rFonts w:eastAsia="方正仿宋简体"/>
          <w:b/>
          <w:sz w:val="32"/>
          <w:szCs w:val="32"/>
        </w:rPr>
        <w:t>）其他有关文件专门要求通过政府信息公开工作年度报告予以报告的事项。</w:t>
      </w:r>
    </w:p>
    <w:p>
      <w:pPr>
        <w:spacing w:line="590" w:lineRule="exact"/>
        <w:ind w:right="-96" w:rightChars="-50" w:firstLine="624" w:firstLineChars="200"/>
        <w:rPr>
          <w:rFonts w:hint="eastAsia" w:eastAsia="方正仿宋简体"/>
          <w:b/>
          <w:sz w:val="32"/>
          <w:szCs w:val="32"/>
        </w:rPr>
      </w:pPr>
      <w:r>
        <w:rPr>
          <w:rFonts w:hint="eastAsia" w:eastAsia="方正仿宋简体"/>
          <w:b/>
          <w:sz w:val="32"/>
          <w:szCs w:val="32"/>
        </w:rPr>
        <w:t>曲阜市司法局无此类事项。</w:t>
      </w:r>
    </w:p>
    <w:p>
      <w:pPr>
        <w:spacing w:line="590" w:lineRule="exact"/>
        <w:ind w:right="-96" w:rightChars="-50" w:firstLine="624" w:firstLineChars="200"/>
        <w:rPr>
          <w:rFonts w:hint="eastAsia" w:eastAsia="方正仿宋简体"/>
          <w:b/>
          <w:sz w:val="32"/>
          <w:szCs w:val="32"/>
        </w:rPr>
      </w:pPr>
      <w:r>
        <w:rPr>
          <w:rFonts w:hint="eastAsia" w:eastAsia="方正仿宋简体"/>
          <w:b/>
          <w:sz w:val="32"/>
          <w:szCs w:val="32"/>
        </w:rPr>
        <w:t>(</w:t>
      </w:r>
      <w:r>
        <w:rPr>
          <w:rFonts w:hint="eastAsia" w:eastAsia="方正仿宋简体"/>
          <w:b/>
          <w:sz w:val="32"/>
          <w:szCs w:val="32"/>
          <w:lang w:val="en-US" w:eastAsia="zh-CN"/>
        </w:rPr>
        <w:t>五</w:t>
      </w:r>
      <w:r>
        <w:rPr>
          <w:rFonts w:hint="eastAsia" w:eastAsia="方正仿宋简体"/>
          <w:b/>
          <w:sz w:val="32"/>
          <w:szCs w:val="32"/>
        </w:rPr>
        <w:t>)落实上级年度政务公开工作要点情况</w:t>
      </w:r>
    </w:p>
    <w:p>
      <w:pPr>
        <w:spacing w:line="590" w:lineRule="exact"/>
        <w:ind w:right="-96" w:rightChars="-50" w:firstLine="624" w:firstLineChars="200"/>
        <w:rPr>
          <w:rFonts w:hint="eastAsia" w:eastAsia="方正仿宋简体"/>
          <w:b/>
          <w:sz w:val="32"/>
          <w:szCs w:val="32"/>
        </w:rPr>
      </w:pPr>
      <w:r>
        <w:rPr>
          <w:rFonts w:hint="eastAsia" w:eastAsia="方正仿宋简体"/>
          <w:b/>
          <w:sz w:val="32"/>
          <w:szCs w:val="32"/>
        </w:rPr>
        <w:t>本年度，曲阜市司法局根据国家、省、市、县关于2023年政务公开工作要点相关文件要求，明确全局政务公开工作重点，结合实际承担的工作职责，持续推动政府信息主动公开目录的动态更新调整，切实将主动公开目录列明的公开事项公开到位，确保“以公开为常态、不公开</w:t>
      </w:r>
      <w:bookmarkStart w:id="10" w:name="_GoBack"/>
      <w:bookmarkEnd w:id="10"/>
      <w:r>
        <w:rPr>
          <w:rFonts w:hint="eastAsia" w:eastAsia="方正仿宋简体"/>
          <w:b/>
          <w:sz w:val="32"/>
          <w:szCs w:val="32"/>
        </w:rPr>
        <w:t>为例外”，有序推进政务公开各项工作。通过微信公众号等政务新媒体渠道发布政务公开相关信息的情况及时发布解读，及时回应社会关切问题，持续稳步推进政务公开工作开展。</w:t>
      </w:r>
    </w:p>
    <w:p>
      <w:pPr>
        <w:spacing w:line="590" w:lineRule="exact"/>
        <w:ind w:right="-96" w:rightChars="-50" w:firstLine="624" w:firstLineChars="200"/>
        <w:rPr>
          <w:rFonts w:hint="eastAsia" w:eastAsia="方正仿宋简体"/>
          <w:b/>
          <w:sz w:val="32"/>
          <w:szCs w:val="32"/>
        </w:rPr>
      </w:pPr>
      <w:r>
        <w:rPr>
          <w:rFonts w:hint="eastAsia" w:eastAsia="方正仿宋简体"/>
          <w:b/>
          <w:sz w:val="32"/>
          <w:szCs w:val="32"/>
        </w:rPr>
        <w:t>(</w:t>
      </w:r>
      <w:r>
        <w:rPr>
          <w:rFonts w:hint="eastAsia" w:eastAsia="方正仿宋简体"/>
          <w:b/>
          <w:sz w:val="32"/>
          <w:szCs w:val="32"/>
          <w:lang w:val="en-US" w:eastAsia="zh-CN"/>
        </w:rPr>
        <w:t>六</w:t>
      </w:r>
      <w:r>
        <w:rPr>
          <w:rFonts w:hint="eastAsia" w:eastAsia="方正仿宋简体"/>
          <w:b/>
          <w:sz w:val="32"/>
          <w:szCs w:val="32"/>
        </w:rPr>
        <w:t>)人大代表建议和政协提案办理结果公开情况</w:t>
      </w:r>
    </w:p>
    <w:p>
      <w:pPr>
        <w:spacing w:line="590" w:lineRule="exact"/>
        <w:ind w:right="-96" w:rightChars="-50" w:firstLine="624" w:firstLineChars="200"/>
        <w:rPr>
          <w:rFonts w:hint="eastAsia" w:eastAsia="方正仿宋简体"/>
          <w:b/>
          <w:sz w:val="32"/>
          <w:szCs w:val="32"/>
        </w:rPr>
      </w:pPr>
      <w:r>
        <w:rPr>
          <w:rFonts w:hint="eastAsia" w:eastAsia="方正仿宋简体"/>
          <w:b/>
          <w:sz w:val="32"/>
          <w:szCs w:val="32"/>
        </w:rPr>
        <w:t>我局2</w:t>
      </w:r>
      <w:r>
        <w:rPr>
          <w:rFonts w:eastAsia="方正仿宋简体"/>
          <w:b/>
          <w:sz w:val="32"/>
          <w:szCs w:val="32"/>
        </w:rPr>
        <w:t>023</w:t>
      </w:r>
      <w:r>
        <w:rPr>
          <w:rFonts w:hint="eastAsia" w:eastAsia="方正仿宋简体"/>
          <w:b/>
          <w:sz w:val="32"/>
          <w:szCs w:val="32"/>
        </w:rPr>
        <w:t>年无人大代表建议和政协提案。</w:t>
      </w:r>
    </w:p>
    <w:p>
      <w:pPr>
        <w:spacing w:line="590" w:lineRule="exact"/>
        <w:ind w:right="-96" w:rightChars="-50" w:firstLine="624" w:firstLineChars="200"/>
        <w:rPr>
          <w:rFonts w:hint="eastAsia" w:eastAsia="方正仿宋简体"/>
          <w:b/>
          <w:sz w:val="32"/>
          <w:szCs w:val="32"/>
        </w:rPr>
      </w:pPr>
    </w:p>
    <w:p>
      <w:pPr>
        <w:spacing w:line="590" w:lineRule="exact"/>
        <w:ind w:right="-96" w:rightChars="-50" w:firstLine="624" w:firstLineChars="200"/>
        <w:rPr>
          <w:rFonts w:eastAsia="方正仿宋简体"/>
          <w:b/>
          <w:color w:val="000000"/>
          <w:sz w:val="32"/>
          <w:szCs w:val="32"/>
        </w:rPr>
      </w:pPr>
    </w:p>
    <w:p>
      <w:pPr>
        <w:spacing w:line="590" w:lineRule="exact"/>
        <w:ind w:right="-96" w:rightChars="-50"/>
        <w:rPr>
          <w:rFonts w:eastAsia="方正仿宋简体"/>
          <w:b/>
          <w:color w:val="000000"/>
          <w:sz w:val="32"/>
          <w:szCs w:val="32"/>
        </w:rPr>
        <w:sectPr>
          <w:footerReference r:id="rId3" w:type="default"/>
          <w:pgSz w:w="11906" w:h="16838"/>
          <w:pgMar w:top="1191" w:right="1588" w:bottom="1191" w:left="1588" w:header="851" w:footer="1559" w:gutter="0"/>
          <w:pgNumType w:fmt="numberInDash"/>
          <w:cols w:space="425" w:num="1"/>
          <w:titlePg/>
          <w:docGrid w:type="linesAndChars" w:linePitch="628" w:charSpace="-1683"/>
        </w:sectPr>
      </w:pPr>
    </w:p>
    <w:p>
      <w:pPr>
        <w:tabs>
          <w:tab w:val="left" w:pos="768"/>
        </w:tabs>
      </w:pPr>
    </w:p>
    <w:sectPr>
      <w:pgSz w:w="11906" w:h="16838"/>
      <w:pgMar w:top="1191" w:right="1588" w:bottom="1191" w:left="1588" w:header="851" w:footer="1559" w:gutter="0"/>
      <w:pgNumType w:fmt="numberInDash"/>
      <w:cols w:space="425"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69C283-9FD3-40CA-99A9-09E21B38468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81B81C48-18D5-49DB-BE6A-50DDCD5EF7AB}"/>
  </w:font>
  <w:font w:name="方正仿宋简体">
    <w:panose1 w:val="03000509000000000000"/>
    <w:charset w:val="86"/>
    <w:family w:val="script"/>
    <w:pitch w:val="default"/>
    <w:sig w:usb0="00000001" w:usb1="080E0000" w:usb2="00000000" w:usb3="00000000" w:csb0="00040000" w:csb1="00000000"/>
    <w:embedRegular r:id="rId3" w:fontKey="{26773D1B-E418-485E-A16B-C5C6732C65CB}"/>
  </w:font>
  <w:font w:name="方正小标宋简体">
    <w:panose1 w:val="02010601030101010101"/>
    <w:charset w:val="86"/>
    <w:family w:val="auto"/>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embedRegular r:id="rId4" w:fontKey="{7C52B29B-8A00-47F4-998A-5F0C90CC10B9}"/>
  </w:font>
  <w:font w:name="方正楷体简体">
    <w:panose1 w:val="03000509000000000000"/>
    <w:charset w:val="86"/>
    <w:family w:val="script"/>
    <w:pitch w:val="default"/>
    <w:sig w:usb0="00000001" w:usb1="080E0000" w:usb2="00000000" w:usb3="00000000" w:csb0="00040000" w:csb1="00000000"/>
    <w:embedRegular r:id="rId5" w:fontKey="{800D7249-5C95-46C2-9B94-A76052619332}"/>
  </w:font>
  <w:font w:name="仿宋_GB2312">
    <w:panose1 w:val="02010609030101010101"/>
    <w:charset w:val="86"/>
    <w:family w:val="modern"/>
    <w:pitch w:val="default"/>
    <w:sig w:usb0="00000001" w:usb1="080E0000" w:usb2="00000000" w:usb3="00000000" w:csb0="00040000" w:csb1="00000000"/>
    <w:embedRegular r:id="rId6" w:fontKey="{CB5EE600-D936-4DD7-B48C-53055AA2AA93}"/>
  </w:font>
  <w:font w:name="楷体_GB2312">
    <w:panose1 w:val="02010609030101010101"/>
    <w:charset w:val="86"/>
    <w:family w:val="modern"/>
    <w:pitch w:val="default"/>
    <w:sig w:usb0="00000001" w:usb1="080E0000" w:usb2="00000000" w:usb3="00000000" w:csb0="00040000" w:csb1="00000000"/>
    <w:embedRegular r:id="rId7" w:fontKey="{E8A9EDA7-A382-4F9B-AF36-65A66DDC443F}"/>
  </w:font>
  <w:font w:name="楷体">
    <w:panose1 w:val="02010609060101010101"/>
    <w:charset w:val="86"/>
    <w:family w:val="modern"/>
    <w:pitch w:val="default"/>
    <w:sig w:usb0="800002BF" w:usb1="38CF7CFA" w:usb2="00000016" w:usb3="00000000" w:csb0="00040001" w:csb1="00000000"/>
    <w:embedRegular r:id="rId8" w:fontKey="{FF5ED28A-DF1C-40F5-9939-42D0061DBDB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18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xZjRmMTU2OTE0OTNjMjRjNTgyZTc4ODBjZTY2YWMifQ=="/>
  </w:docVars>
  <w:rsids>
    <w:rsidRoot w:val="00581B4F"/>
    <w:rsid w:val="00024953"/>
    <w:rsid w:val="001C66E0"/>
    <w:rsid w:val="00245A7C"/>
    <w:rsid w:val="002E6413"/>
    <w:rsid w:val="003420B4"/>
    <w:rsid w:val="0048508C"/>
    <w:rsid w:val="00581B4F"/>
    <w:rsid w:val="005A7484"/>
    <w:rsid w:val="005E7B59"/>
    <w:rsid w:val="006B2BE9"/>
    <w:rsid w:val="006E674E"/>
    <w:rsid w:val="007C156E"/>
    <w:rsid w:val="00804738"/>
    <w:rsid w:val="008578B8"/>
    <w:rsid w:val="00B73FF8"/>
    <w:rsid w:val="00BB218C"/>
    <w:rsid w:val="00C34F8F"/>
    <w:rsid w:val="00CD29E6"/>
    <w:rsid w:val="00F37770"/>
    <w:rsid w:val="014C6B51"/>
    <w:rsid w:val="01581AAD"/>
    <w:rsid w:val="015B4FE6"/>
    <w:rsid w:val="019D115B"/>
    <w:rsid w:val="01C25065"/>
    <w:rsid w:val="01DB2B87"/>
    <w:rsid w:val="026B3007"/>
    <w:rsid w:val="032F672A"/>
    <w:rsid w:val="03634626"/>
    <w:rsid w:val="038D16A3"/>
    <w:rsid w:val="04C74740"/>
    <w:rsid w:val="04D07A99"/>
    <w:rsid w:val="053C6EDC"/>
    <w:rsid w:val="05461B09"/>
    <w:rsid w:val="05CA29BF"/>
    <w:rsid w:val="05FB6D97"/>
    <w:rsid w:val="07293490"/>
    <w:rsid w:val="074309F6"/>
    <w:rsid w:val="08386081"/>
    <w:rsid w:val="09153CCC"/>
    <w:rsid w:val="094B1DE4"/>
    <w:rsid w:val="09AF5ECF"/>
    <w:rsid w:val="09D27E0F"/>
    <w:rsid w:val="0A252635"/>
    <w:rsid w:val="0A640151"/>
    <w:rsid w:val="0ABB4D47"/>
    <w:rsid w:val="0AC0235E"/>
    <w:rsid w:val="0B3F7726"/>
    <w:rsid w:val="0BA35EEA"/>
    <w:rsid w:val="0C3C3C66"/>
    <w:rsid w:val="0C654F6B"/>
    <w:rsid w:val="0DEB5944"/>
    <w:rsid w:val="0E963B01"/>
    <w:rsid w:val="0EAA4EB7"/>
    <w:rsid w:val="0FC30926"/>
    <w:rsid w:val="0FC4644C"/>
    <w:rsid w:val="104650B3"/>
    <w:rsid w:val="109127D2"/>
    <w:rsid w:val="10953945"/>
    <w:rsid w:val="11162CD7"/>
    <w:rsid w:val="11511F61"/>
    <w:rsid w:val="11F34DC7"/>
    <w:rsid w:val="127203E1"/>
    <w:rsid w:val="130A686C"/>
    <w:rsid w:val="13983E78"/>
    <w:rsid w:val="13F60B9E"/>
    <w:rsid w:val="13FD017F"/>
    <w:rsid w:val="141C0605"/>
    <w:rsid w:val="146B6E96"/>
    <w:rsid w:val="147C5547"/>
    <w:rsid w:val="147D5535"/>
    <w:rsid w:val="147E4E1C"/>
    <w:rsid w:val="14BE346A"/>
    <w:rsid w:val="15695ACC"/>
    <w:rsid w:val="15A84292"/>
    <w:rsid w:val="15BB3E4D"/>
    <w:rsid w:val="15E46F00"/>
    <w:rsid w:val="15F80BFE"/>
    <w:rsid w:val="16640041"/>
    <w:rsid w:val="17822E75"/>
    <w:rsid w:val="18972950"/>
    <w:rsid w:val="18D314AE"/>
    <w:rsid w:val="18E24A74"/>
    <w:rsid w:val="197467ED"/>
    <w:rsid w:val="19B65058"/>
    <w:rsid w:val="19B94B48"/>
    <w:rsid w:val="19EA4D01"/>
    <w:rsid w:val="19FB6F0E"/>
    <w:rsid w:val="1A277D03"/>
    <w:rsid w:val="1A4C32C6"/>
    <w:rsid w:val="1AD80FFE"/>
    <w:rsid w:val="1B516ABF"/>
    <w:rsid w:val="1BA809D0"/>
    <w:rsid w:val="1C6A3ED7"/>
    <w:rsid w:val="1C735482"/>
    <w:rsid w:val="1D1125A5"/>
    <w:rsid w:val="1D187DD7"/>
    <w:rsid w:val="1D5C7CC4"/>
    <w:rsid w:val="1DB47B00"/>
    <w:rsid w:val="1E546BED"/>
    <w:rsid w:val="1EA50136"/>
    <w:rsid w:val="1EB06519"/>
    <w:rsid w:val="1EBB6C6C"/>
    <w:rsid w:val="1EC73863"/>
    <w:rsid w:val="1F4924CA"/>
    <w:rsid w:val="1FE65F6B"/>
    <w:rsid w:val="200C59D1"/>
    <w:rsid w:val="21472A39"/>
    <w:rsid w:val="21601A4E"/>
    <w:rsid w:val="21B06830"/>
    <w:rsid w:val="21B24356"/>
    <w:rsid w:val="22D402FC"/>
    <w:rsid w:val="22E81C12"/>
    <w:rsid w:val="22EF3388"/>
    <w:rsid w:val="23531B69"/>
    <w:rsid w:val="236E69A3"/>
    <w:rsid w:val="23CD5478"/>
    <w:rsid w:val="23F21382"/>
    <w:rsid w:val="241F37F9"/>
    <w:rsid w:val="242157C3"/>
    <w:rsid w:val="24AE34FB"/>
    <w:rsid w:val="253B28B5"/>
    <w:rsid w:val="26926505"/>
    <w:rsid w:val="26E054C2"/>
    <w:rsid w:val="272D447F"/>
    <w:rsid w:val="276500BD"/>
    <w:rsid w:val="285C501C"/>
    <w:rsid w:val="286914E7"/>
    <w:rsid w:val="293B10D5"/>
    <w:rsid w:val="29D46E34"/>
    <w:rsid w:val="2A1262DA"/>
    <w:rsid w:val="2AAF1D7B"/>
    <w:rsid w:val="2B053749"/>
    <w:rsid w:val="2B1716CE"/>
    <w:rsid w:val="2BC74EA2"/>
    <w:rsid w:val="2C6C77F8"/>
    <w:rsid w:val="2CA927FA"/>
    <w:rsid w:val="2D355E3C"/>
    <w:rsid w:val="2D8F19F0"/>
    <w:rsid w:val="2DCC67A0"/>
    <w:rsid w:val="2DFB52D7"/>
    <w:rsid w:val="2F9C21A2"/>
    <w:rsid w:val="2FD162F0"/>
    <w:rsid w:val="2FD47B8E"/>
    <w:rsid w:val="301D1535"/>
    <w:rsid w:val="304C5976"/>
    <w:rsid w:val="307B44AD"/>
    <w:rsid w:val="308415B4"/>
    <w:rsid w:val="31091D92"/>
    <w:rsid w:val="31796C3F"/>
    <w:rsid w:val="326E42CA"/>
    <w:rsid w:val="326E6078"/>
    <w:rsid w:val="329655CE"/>
    <w:rsid w:val="32CE4D68"/>
    <w:rsid w:val="33264BA4"/>
    <w:rsid w:val="33482D6D"/>
    <w:rsid w:val="338418CB"/>
    <w:rsid w:val="33F95E15"/>
    <w:rsid w:val="33FD3B57"/>
    <w:rsid w:val="34052A0C"/>
    <w:rsid w:val="348C0A37"/>
    <w:rsid w:val="34BA1A48"/>
    <w:rsid w:val="35B91D00"/>
    <w:rsid w:val="36B3674F"/>
    <w:rsid w:val="36EC7EB3"/>
    <w:rsid w:val="37060F75"/>
    <w:rsid w:val="372B2789"/>
    <w:rsid w:val="373F4487"/>
    <w:rsid w:val="375A4E1C"/>
    <w:rsid w:val="37621F23"/>
    <w:rsid w:val="37EA43F2"/>
    <w:rsid w:val="38066101"/>
    <w:rsid w:val="386A72E1"/>
    <w:rsid w:val="387E0FDF"/>
    <w:rsid w:val="388F3C84"/>
    <w:rsid w:val="388F6D48"/>
    <w:rsid w:val="38DD3F57"/>
    <w:rsid w:val="38DD5D05"/>
    <w:rsid w:val="38FD1F03"/>
    <w:rsid w:val="39697599"/>
    <w:rsid w:val="39B60304"/>
    <w:rsid w:val="39BA6046"/>
    <w:rsid w:val="3A663AD8"/>
    <w:rsid w:val="3ADE3FB6"/>
    <w:rsid w:val="3B181276"/>
    <w:rsid w:val="3B1B0D67"/>
    <w:rsid w:val="3B750477"/>
    <w:rsid w:val="3B8763FC"/>
    <w:rsid w:val="3BA7084C"/>
    <w:rsid w:val="3C300842"/>
    <w:rsid w:val="3CE321F5"/>
    <w:rsid w:val="3D211F38"/>
    <w:rsid w:val="3D2A703F"/>
    <w:rsid w:val="3D864BBD"/>
    <w:rsid w:val="3DA07301"/>
    <w:rsid w:val="3DA9265A"/>
    <w:rsid w:val="3DBD7EB3"/>
    <w:rsid w:val="3E530817"/>
    <w:rsid w:val="3E6D3687"/>
    <w:rsid w:val="3E8C540C"/>
    <w:rsid w:val="3E9055C8"/>
    <w:rsid w:val="3EC040FF"/>
    <w:rsid w:val="3F4C5993"/>
    <w:rsid w:val="3FCB2D5B"/>
    <w:rsid w:val="3FCB4F6E"/>
    <w:rsid w:val="3FE61943"/>
    <w:rsid w:val="400C6ED0"/>
    <w:rsid w:val="404E573A"/>
    <w:rsid w:val="40B90E06"/>
    <w:rsid w:val="40D55514"/>
    <w:rsid w:val="413D1A37"/>
    <w:rsid w:val="414C3A28"/>
    <w:rsid w:val="42CB6BCE"/>
    <w:rsid w:val="42EF6D61"/>
    <w:rsid w:val="43193DDE"/>
    <w:rsid w:val="436112E1"/>
    <w:rsid w:val="43EC504E"/>
    <w:rsid w:val="44114AB5"/>
    <w:rsid w:val="44E81CBA"/>
    <w:rsid w:val="456A4DC4"/>
    <w:rsid w:val="46080139"/>
    <w:rsid w:val="46F30DEA"/>
    <w:rsid w:val="471A0124"/>
    <w:rsid w:val="471C5C4A"/>
    <w:rsid w:val="473A07C7"/>
    <w:rsid w:val="47857C94"/>
    <w:rsid w:val="48521346"/>
    <w:rsid w:val="48657AC5"/>
    <w:rsid w:val="48A64365"/>
    <w:rsid w:val="494E0559"/>
    <w:rsid w:val="49A168DB"/>
    <w:rsid w:val="49CE5703"/>
    <w:rsid w:val="4A02381D"/>
    <w:rsid w:val="4A02502A"/>
    <w:rsid w:val="4A1672C9"/>
    <w:rsid w:val="4A8A55C1"/>
    <w:rsid w:val="4AB443EC"/>
    <w:rsid w:val="4AE7656F"/>
    <w:rsid w:val="4AF62C56"/>
    <w:rsid w:val="4BA17856"/>
    <w:rsid w:val="4BC114B6"/>
    <w:rsid w:val="4CCE5C39"/>
    <w:rsid w:val="4CDD5E7C"/>
    <w:rsid w:val="4D754306"/>
    <w:rsid w:val="4DA90454"/>
    <w:rsid w:val="4E41068C"/>
    <w:rsid w:val="4E710F72"/>
    <w:rsid w:val="4EB33338"/>
    <w:rsid w:val="4F17423C"/>
    <w:rsid w:val="4F18319B"/>
    <w:rsid w:val="4F29184C"/>
    <w:rsid w:val="50175B49"/>
    <w:rsid w:val="503C735D"/>
    <w:rsid w:val="50926F7D"/>
    <w:rsid w:val="50AC44E3"/>
    <w:rsid w:val="50AF5D81"/>
    <w:rsid w:val="51295B34"/>
    <w:rsid w:val="514364CA"/>
    <w:rsid w:val="51D57A6A"/>
    <w:rsid w:val="51E101BC"/>
    <w:rsid w:val="526130AB"/>
    <w:rsid w:val="526B6152"/>
    <w:rsid w:val="53220A8C"/>
    <w:rsid w:val="533407C0"/>
    <w:rsid w:val="54091C4C"/>
    <w:rsid w:val="54556C40"/>
    <w:rsid w:val="546B6463"/>
    <w:rsid w:val="54FE2E33"/>
    <w:rsid w:val="556A2277"/>
    <w:rsid w:val="556C5FEF"/>
    <w:rsid w:val="558772CD"/>
    <w:rsid w:val="57346FE0"/>
    <w:rsid w:val="577E64AD"/>
    <w:rsid w:val="57E5652D"/>
    <w:rsid w:val="58256929"/>
    <w:rsid w:val="589E6E07"/>
    <w:rsid w:val="593908DE"/>
    <w:rsid w:val="59E940B2"/>
    <w:rsid w:val="5A8913F1"/>
    <w:rsid w:val="5A9A1850"/>
    <w:rsid w:val="5AE623A0"/>
    <w:rsid w:val="5B1C2265"/>
    <w:rsid w:val="5C0F1DCA"/>
    <w:rsid w:val="5C71038F"/>
    <w:rsid w:val="5CBF559E"/>
    <w:rsid w:val="5DDA4491"/>
    <w:rsid w:val="5E677C9B"/>
    <w:rsid w:val="5E7559F9"/>
    <w:rsid w:val="5E7D126D"/>
    <w:rsid w:val="5E8E6FD6"/>
    <w:rsid w:val="5EDD1D0C"/>
    <w:rsid w:val="5EFC1288"/>
    <w:rsid w:val="5F08322C"/>
    <w:rsid w:val="5F473629"/>
    <w:rsid w:val="5F8053EF"/>
    <w:rsid w:val="60762418"/>
    <w:rsid w:val="60A52CFD"/>
    <w:rsid w:val="60D158A0"/>
    <w:rsid w:val="60F375C4"/>
    <w:rsid w:val="616E7593"/>
    <w:rsid w:val="61B52ACC"/>
    <w:rsid w:val="62053A53"/>
    <w:rsid w:val="6324615B"/>
    <w:rsid w:val="63464323"/>
    <w:rsid w:val="639C3F43"/>
    <w:rsid w:val="63A86D8C"/>
    <w:rsid w:val="64A137DB"/>
    <w:rsid w:val="64B96D77"/>
    <w:rsid w:val="64CA0F84"/>
    <w:rsid w:val="64EF4547"/>
    <w:rsid w:val="65B512EC"/>
    <w:rsid w:val="65BA6903"/>
    <w:rsid w:val="66D87988"/>
    <w:rsid w:val="674072DB"/>
    <w:rsid w:val="67D619EE"/>
    <w:rsid w:val="67F307F2"/>
    <w:rsid w:val="68264952"/>
    <w:rsid w:val="68914293"/>
    <w:rsid w:val="69224EEB"/>
    <w:rsid w:val="69272501"/>
    <w:rsid w:val="69A41DA4"/>
    <w:rsid w:val="6A0A597F"/>
    <w:rsid w:val="6A3D7B02"/>
    <w:rsid w:val="6A611A43"/>
    <w:rsid w:val="6AB73D58"/>
    <w:rsid w:val="6B234F4A"/>
    <w:rsid w:val="6B8C6709"/>
    <w:rsid w:val="6BF87B65"/>
    <w:rsid w:val="6C450EF0"/>
    <w:rsid w:val="6C6D0B73"/>
    <w:rsid w:val="6D784291"/>
    <w:rsid w:val="6E076DA5"/>
    <w:rsid w:val="6E7206C2"/>
    <w:rsid w:val="6E775CD9"/>
    <w:rsid w:val="6F03756C"/>
    <w:rsid w:val="6F101C89"/>
    <w:rsid w:val="6F926B42"/>
    <w:rsid w:val="6FC30AAA"/>
    <w:rsid w:val="6FEC1DAE"/>
    <w:rsid w:val="7073427E"/>
    <w:rsid w:val="71A32941"/>
    <w:rsid w:val="72DA4A88"/>
    <w:rsid w:val="72FF629D"/>
    <w:rsid w:val="73A0182E"/>
    <w:rsid w:val="740C0C71"/>
    <w:rsid w:val="744523D5"/>
    <w:rsid w:val="74E7348C"/>
    <w:rsid w:val="75CB06B8"/>
    <w:rsid w:val="76796366"/>
    <w:rsid w:val="77044B75"/>
    <w:rsid w:val="771D13E7"/>
    <w:rsid w:val="7726029C"/>
    <w:rsid w:val="773F4EBA"/>
    <w:rsid w:val="781225CE"/>
    <w:rsid w:val="782347DB"/>
    <w:rsid w:val="784F3822"/>
    <w:rsid w:val="78D5702C"/>
    <w:rsid w:val="7A0D5743"/>
    <w:rsid w:val="7AEF309B"/>
    <w:rsid w:val="7B5A4DD2"/>
    <w:rsid w:val="7C224DAA"/>
    <w:rsid w:val="7C6F7FEF"/>
    <w:rsid w:val="7CA33D37"/>
    <w:rsid w:val="7D11554A"/>
    <w:rsid w:val="7D781125"/>
    <w:rsid w:val="7D7D4F2C"/>
    <w:rsid w:val="7EC02D84"/>
    <w:rsid w:val="7EC62364"/>
    <w:rsid w:val="7F363046"/>
    <w:rsid w:val="7FBD37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link w:val="8"/>
    <w:autoRedefine/>
    <w:qFormat/>
    <w:uiPriority w:val="0"/>
    <w:pPr>
      <w:tabs>
        <w:tab w:val="center" w:pos="4153"/>
        <w:tab w:val="right" w:pos="8306"/>
      </w:tabs>
      <w:snapToGrid w:val="0"/>
      <w:jc w:val="center"/>
    </w:pPr>
    <w:rPr>
      <w:sz w:val="18"/>
      <w:szCs w:val="18"/>
    </w:rPr>
  </w:style>
  <w:style w:type="paragraph" w:styleId="4">
    <w:name w:val="Normal (Web)"/>
    <w:basedOn w:val="1"/>
    <w:autoRedefine/>
    <w:qFormat/>
    <w:uiPriority w:val="0"/>
    <w:pPr>
      <w:widowControl/>
      <w:spacing w:before="100" w:beforeAutospacing="1" w:after="100" w:afterAutospacing="1"/>
      <w:jc w:val="left"/>
    </w:pPr>
    <w:rPr>
      <w:rFonts w:ascii="宋体" w:hAnsi="宋体" w:cs="宋体"/>
      <w:sz w:val="24"/>
    </w:rPr>
  </w:style>
  <w:style w:type="character" w:styleId="7">
    <w:name w:val="Strong"/>
    <w:autoRedefine/>
    <w:qFormat/>
    <w:uiPriority w:val="0"/>
    <w:rPr>
      <w:b/>
      <w:bCs/>
    </w:rPr>
  </w:style>
  <w:style w:type="character" w:customStyle="1" w:styleId="8">
    <w:name w:val="页眉 字符"/>
    <w:basedOn w:val="6"/>
    <w:link w:val="3"/>
    <w:autoRedefine/>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条</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Sheet1!$A$2:$A$7</c:f>
              <c:strCache>
                <c:ptCount val="6"/>
                <c:pt idx="0">
                  <c:v>要闻推荐</c:v>
                </c:pt>
                <c:pt idx="1">
                  <c:v>“和为贵”调解信息</c:v>
                </c:pt>
                <c:pt idx="2">
                  <c:v>公共法律服务信息</c:v>
                </c:pt>
                <c:pt idx="3">
                  <c:v>曲阜普法信息</c:v>
                </c:pt>
                <c:pt idx="4">
                  <c:v>规范性文件</c:v>
                </c:pt>
                <c:pt idx="5">
                  <c:v>部门财政预决算信息</c:v>
                </c:pt>
              </c:strCache>
            </c:strRef>
          </c:cat>
          <c:val>
            <c:numRef>
              <c:f>Sheet1!$B$2:$B$7</c:f>
              <c:numCache>
                <c:formatCode>General</c:formatCode>
                <c:ptCount val="6"/>
                <c:pt idx="0">
                  <c:v>37</c:v>
                </c:pt>
                <c:pt idx="1">
                  <c:v>4</c:v>
                </c:pt>
                <c:pt idx="2">
                  <c:v>5</c:v>
                </c:pt>
                <c:pt idx="3">
                  <c:v>10</c:v>
                </c:pt>
                <c:pt idx="4">
                  <c:v>10</c:v>
                </c:pt>
                <c:pt idx="5">
                  <c:v>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sz="1400" b="1" i="0" u="none" strike="noStrike" baseline="0">
                <a:effectLst/>
              </a:rPr>
              <a:t>政府信息公开申请情况</a:t>
            </a:r>
            <a:endParaRPr lang="zh-CN" altLang="en-US"/>
          </a:p>
        </c:rich>
      </c:tx>
      <c:layout/>
      <c:overlay val="0"/>
      <c:spPr>
        <a:noFill/>
        <a:ln>
          <a:noFill/>
        </a:ln>
        <a:effectLst/>
      </c:spPr>
    </c:title>
    <c:autoTitleDeleted val="0"/>
    <c:plotArea>
      <c:layout/>
      <c:barChart>
        <c:barDir val="bar"/>
        <c:grouping val="clustered"/>
        <c:varyColors val="0"/>
        <c:ser>
          <c:idx val="0"/>
          <c:order val="0"/>
          <c:tx>
            <c:strRef>
              <c:f>Sheet1!$B$1</c:f>
              <c:strCache>
                <c:ptCount val="1"/>
                <c:pt idx="0">
                  <c:v>申请情况</c:v>
                </c:pt>
              </c:strCache>
            </c:strRef>
          </c:tx>
          <c:spPr>
            <a:solidFill>
              <a:schemeClr val="accent1"/>
            </a:solidFill>
            <a:ln cmpd="tri">
              <a:solidFill>
                <a:schemeClr val="accent1"/>
              </a:solidFill>
            </a:ln>
            <a:effectLst/>
          </c:spPr>
          <c:invertIfNegative val="0"/>
          <c:dLbls>
            <c:delete val="1"/>
          </c:dLbls>
          <c:cat>
            <c:strRef>
              <c:f>Sheet1!$A$2:$A$5</c:f>
              <c:strCache>
                <c:ptCount val="4"/>
                <c:pt idx="0">
                  <c:v>2020年</c:v>
                </c:pt>
                <c:pt idx="1">
                  <c:v>2021年</c:v>
                </c:pt>
                <c:pt idx="2">
                  <c:v>2022年</c:v>
                </c:pt>
                <c:pt idx="3">
                  <c:v>2023年</c:v>
                </c:pt>
              </c:strCache>
            </c:strRef>
          </c:cat>
          <c:val>
            <c:numRef>
              <c:f>Sheet1!$B$2:$B$5</c:f>
              <c:numCache>
                <c:formatCode>General</c:formatCode>
                <c:ptCount val="4"/>
                <c:pt idx="0">
                  <c:v>2</c:v>
                </c:pt>
                <c:pt idx="1">
                  <c:v>1</c:v>
                </c:pt>
                <c:pt idx="2">
                  <c:v>0</c:v>
                </c:pt>
                <c:pt idx="3">
                  <c:v>2</c:v>
                </c:pt>
              </c:numCache>
            </c:numRef>
          </c:val>
        </c:ser>
        <c:ser>
          <c:idx val="1"/>
          <c:order val="1"/>
          <c:tx>
            <c:strRef>
              <c:f>Sheet1!$C$1</c:f>
              <c:strCache>
                <c:ptCount val="1"/>
                <c:pt idx="0">
                  <c:v>予以公开</c:v>
                </c:pt>
              </c:strCache>
            </c:strRef>
          </c:tx>
          <c:spPr>
            <a:solidFill>
              <a:schemeClr val="accent2"/>
            </a:solidFill>
            <a:ln>
              <a:noFill/>
            </a:ln>
            <a:effectLst/>
          </c:spPr>
          <c:invertIfNegative val="0"/>
          <c:dLbls>
            <c:delete val="1"/>
          </c:dLbls>
          <c:cat>
            <c:strRef>
              <c:f>Sheet1!$A$2:$A$5</c:f>
              <c:strCache>
                <c:ptCount val="4"/>
                <c:pt idx="0">
                  <c:v>2020年</c:v>
                </c:pt>
                <c:pt idx="1">
                  <c:v>2021年</c:v>
                </c:pt>
                <c:pt idx="2">
                  <c:v>2022年</c:v>
                </c:pt>
                <c:pt idx="3">
                  <c:v>2023年</c:v>
                </c:pt>
              </c:strCache>
            </c:strRef>
          </c:cat>
          <c:val>
            <c:numRef>
              <c:f>Sheet1!$C$2:$C$5</c:f>
              <c:numCache>
                <c:formatCode>General</c:formatCode>
                <c:ptCount val="4"/>
                <c:pt idx="0">
                  <c:v>2</c:v>
                </c:pt>
                <c:pt idx="1">
                  <c:v>1</c:v>
                </c:pt>
                <c:pt idx="2">
                  <c:v>0</c:v>
                </c:pt>
                <c:pt idx="3">
                  <c:v>2</c:v>
                </c:pt>
              </c:numCache>
            </c:numRef>
          </c:val>
        </c:ser>
        <c:ser>
          <c:idx val="2"/>
          <c:order val="2"/>
          <c:tx>
            <c:strRef>
              <c:f>Sheet1!$D$1</c:f>
              <c:strCache>
                <c:ptCount val="1"/>
                <c:pt idx="0">
                  <c:v>不予公开</c:v>
                </c:pt>
              </c:strCache>
            </c:strRef>
          </c:tx>
          <c:spPr>
            <a:solidFill>
              <a:schemeClr val="accent3"/>
            </a:solidFill>
            <a:ln>
              <a:noFill/>
            </a:ln>
            <a:effectLst/>
          </c:spPr>
          <c:invertIfNegative val="0"/>
          <c:dLbls>
            <c:delete val="1"/>
          </c:dLbls>
          <c:cat>
            <c:strRef>
              <c:f>Sheet1!$A$2:$A$5</c:f>
              <c:strCache>
                <c:ptCount val="4"/>
                <c:pt idx="0">
                  <c:v>2020年</c:v>
                </c:pt>
                <c:pt idx="1">
                  <c:v>2021年</c:v>
                </c:pt>
                <c:pt idx="2">
                  <c:v>2022年</c:v>
                </c:pt>
                <c:pt idx="3">
                  <c:v>2023年</c:v>
                </c:pt>
              </c:strCache>
            </c:strRef>
          </c:cat>
          <c:val>
            <c:numRef>
              <c:f>Sheet1!$D$2:$D$5</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150"/>
        <c:axId val="659470832"/>
        <c:axId val="659471192"/>
      </c:barChart>
      <c:catAx>
        <c:axId val="6594708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9471192"/>
        <c:crosses val="autoZero"/>
        <c:auto val="1"/>
        <c:lblAlgn val="ctr"/>
        <c:lblOffset val="100"/>
        <c:noMultiLvlLbl val="0"/>
      </c:catAx>
      <c:valAx>
        <c:axId val="65947119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5947083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443</Words>
  <Characters>2527</Characters>
  <Lines>21</Lines>
  <Paragraphs>5</Paragraphs>
  <TotalTime>0</TotalTime>
  <ScaleCrop>false</ScaleCrop>
  <LinksUpToDate>false</LinksUpToDate>
  <CharactersWithSpaces>2965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2023-01-18T01:02:00Z</dcterms:created>
  <dc:creator>zwh</dc:creator>
  <cp:lastModifiedBy>Jade</cp:lastModifiedBy>
  <dcterms:modified xsi:type="dcterms:W3CDTF">2024-02-23T07:40:31Z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9EB2498641C04AD6B6D65699BF218EFB</vt:lpwstr>
  </property>
</Properties>
</file>