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jc w:val="center"/>
        <w:rPr>
          <w:rFonts w:ascii="Arial" w:hAnsi="Arial" w:cs="Arial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曲阜市医疗保障局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年政府信息公开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工作年度报告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Arial" w:eastAsia="方正小标宋简体" w:cs="Arial"/>
          <w:color w:val="00000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根据市政府办公室《关于做好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年度政府信息公开年度报告编制发布工作的通知》的要求，</w:t>
      </w:r>
      <w:r>
        <w:rPr>
          <w:rFonts w:hint="eastAsia" w:ascii="仿宋_GB2312" w:hAnsi="仿宋_GB2312" w:eastAsia="仿宋_GB2312" w:cs="仿宋_GB2312"/>
          <w:sz w:val="31"/>
          <w:szCs w:val="31"/>
        </w:rPr>
        <w:t>现向社会公布20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1"/>
          <w:szCs w:val="31"/>
        </w:rPr>
        <w:t>年度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曲阜市医疗保障局</w:t>
      </w:r>
      <w:r>
        <w:rPr>
          <w:rFonts w:hint="eastAsia" w:ascii="仿宋_GB2312" w:hAnsi="仿宋_GB2312" w:eastAsia="仿宋_GB2312" w:cs="仿宋_GB2312"/>
          <w:sz w:val="31"/>
          <w:szCs w:val="31"/>
        </w:rPr>
        <w:t>信息公开工作年度报告。本年报包括总体情况、主动公开政府信息情况、收到和处理政府信息公开申请情况、政府信息公开行政复议及行政诉讼情况、存在的主要问题及改进情况、其它需要报告的事项六个部分。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一、总体情况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，我局坚持以习近平新时代中国特色社会主义思想为指导，全面贯彻党的十九大和十九届二中、三中、四中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五中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全会精神，深入落实省委省政府关于全面推进政务公开工作部署，加强组织领导，健全工作机制，围绕中心工作，依法推进政府信息公开，着力打造服务型、阳光型机关，较好地完成了政府信息公开各项工作。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（一）加强组织领导，建立健全工作机制。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以来，将政务公开作为一项重点工作摆上重要议事日程，成立了政务公开工作领导小组，加强对政务公开工作的组织领导和统筹协调。各科室、单位切实履行“第一责任人”职责，定期研究、直接参与、协调解决政务公开有关工作和问题，形成了各司其职、齐抓共管的工作局面。制定了《曲阜市医疗保障局政务信息公开工作管理办法》，规定了政务公开范围、主体、方式、程序、监督和保障等内容，为开展政务公开工作提供了制度保障。制定了《曲阜市医疗保障局政府信息公开指南》，向社会公布了我局信息分类和编排体系、信息获取的方式途径，方便群众监督。制定了《曲阜市医疗保障局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政务公开工作要点》，形成了工作任务分解配档表，将每项工作落实到具体科室、单位，推动了工作落实。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二）完善公开内容，推进重点领域信息公开。实行行政决策预公开，根据省、市部门信息公开目录调整的安排部署，进一步细化我局信息目录内容，编制了《曲阜市医疗保障局政府信息公开目录》，搭建了政务公开内容的基本框架。推动医保重点领域信息公开，强化规范性文件、政策性文件的公开与解读，加大医保待遇政策调整、医保支付方式改革、定点医药机制协议管理、医保服务价格调整、药品耗材招标采购、打击欺诈骗保等医疗保障、医疗救助等政策制度公开力度，增强了医保工作的公开性和透明度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三）围绕群众关切，拓展政务公开渠道。我局建立了以门户网站公开为主，微信公众号等各类宣传媒介等多种形式为辅的政务公开渠道。将门户网站作为信息公开的主阵地，积极推进门户网站的建设运行，规范完善了公开目录和内容，截止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年底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，在门户网站主动公开各类信息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条，涵盖机构职能、法规文件、统计数据等5项内容。注重主动公开与依申请公开相结合，切实维护群众权益。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四）规范行政权力运行，提升政务公开实效。按照省、市医保系统权责清单制定和公开工作，制定了曲阜市医疗保障权责清单，制定了《曲阜市医疗保障局关于实施流程再造推进“一窗受理·一次办好”改革实施方案》，加快统一经办服务，按照证明材料最少、办事流程最简、办理时限最短、服务质量最优的“四个最”改革目标，对全部18类34项医保经办服务事项进行全面梳理、精简优化、流程再造，实现了统一经办事项名称、统一申办材料、统一经办方式、统一经办流程、统一办理时限、统一服务标准的“六统一”。对所有办理事项的事项名称、服务对象、办理方式、办理流程、申办材料、办理时限、监督电话、服务质量及满意度测评进行了明确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（五）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加强考核培训，提高政务公开能力。将政务公开工作纳入各科室绩效考核工作体系，定期进行调度、通报，促进工作开展。把《政府信息公开条例》列入学习计划，邀请相关专家开展了《政府信息公开条例》工作培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,进一步增强公开透明理念，提高政务公开能力。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1275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本年新制作数量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本年新公开数量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规章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规范性文件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本年增/减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行政许可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default" w:ascii="仿宋_GB2312" w:hAnsi="仿宋_GB2312" w:eastAsia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其他对外管理服务事项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本年增/减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行政处罚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行政强制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行政事业性收费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31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信息内容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政府集中采购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31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</w:tbl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Style w:val="5"/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t>三、</w:t>
      </w:r>
      <w:r>
        <w:rPr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5"/>
        <w:gridCol w:w="2130"/>
        <w:gridCol w:w="825"/>
        <w:gridCol w:w="765"/>
        <w:gridCol w:w="765"/>
        <w:gridCol w:w="825"/>
        <w:gridCol w:w="990"/>
        <w:gridCol w:w="720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2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7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商业企业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科研机构</w:t>
            </w: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社会公益组织</w:t>
            </w:r>
          </w:p>
        </w:tc>
        <w:tc>
          <w:tcPr>
            <w:tcW w:w="9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一、本年新收政府信息公开申请数量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19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19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二、上年结转政府信息公开申请数量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（一）予以公开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19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（三）不予公开</w:t>
            </w:r>
          </w:p>
          <w:p>
            <w:pPr>
              <w:widowControl/>
              <w:spacing w:after="180" w:line="420" w:lineRule="atLeast"/>
              <w:ind w:firstLine="0"/>
              <w:jc w:val="left"/>
              <w:rPr>
                <w:rFonts w:ascii="宋体"/>
              </w:rPr>
            </w:pP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1.属于国家秘密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2.其他法律行政法规禁止公开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3.危及“三安全一稳定”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4.保护第三方合法权益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5.属于三类内部事务信息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6.属于四类过程性信息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7.属于行政执法案卷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宋体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8.属于行政查询事项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（四）无法提供</w:t>
            </w: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1.本机关不掌握相关政府信息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2.没有现成信息需要另行制作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3.补正后申请内容仍不明确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（五）不予处理</w:t>
            </w:r>
          </w:p>
        </w:tc>
        <w:tc>
          <w:tcPr>
            <w:tcW w:w="21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1.信访举报投诉类申请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2.重复申请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3.要求提供公开出版物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4.无正当理由大量反复申请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1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（六）其他处理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298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（七）总计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19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hint="eastAsia" w:ascii="仿宋_GB2312" w:hAns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19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left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四、结转下年度继续办理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6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99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  <w:tc>
          <w:tcPr>
            <w:tcW w:w="70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0</w:t>
            </w:r>
          </w:p>
        </w:tc>
      </w:tr>
    </w:tbl>
    <w:p>
      <w:pPr>
        <w:pStyle w:val="2"/>
        <w:shd w:val="clear" w:color="auto" w:fill="FFFFFF"/>
        <w:spacing w:before="0" w:beforeAutospacing="0" w:after="240" w:afterAutospacing="0" w:line="560" w:lineRule="atLeast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&amp;quot" w:eastAsia="仿宋_GB2312" w:cs="Arial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5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宋体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</w:t>
            </w:r>
          </w:p>
          <w:p>
            <w:pPr>
              <w:widowControl/>
              <w:spacing w:after="180" w:line="420" w:lineRule="atLeast"/>
              <w:ind w:firstLine="0"/>
              <w:jc w:val="center"/>
              <w:rPr>
                <w:rFonts w:ascii="宋体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维</w:t>
            </w:r>
          </w:p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持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尚未审结</w:t>
            </w:r>
          </w:p>
        </w:tc>
        <w:tc>
          <w:tcPr>
            <w:tcW w:w="6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42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19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55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0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ind w:firstLine="0"/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</w:tr>
    </w:tbl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五、存在的主要问题及改进情况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</w:rPr>
        <w:t>20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</w:rPr>
        <w:t>年，虽然我局政务公开工作取得了一定成效，但还存在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lang w:val="en-US" w:eastAsia="zh-CN"/>
        </w:rPr>
        <w:t>一些问题，主要表现在：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</w:rPr>
        <w:t>一是信息公开工作没有建立长效机制，信息公开的制度规则需要进一步细化，信息公开的广度和深度有待进一步提高。二是信息发布发布频率较低，更新不够及时。下一步，我局将按照市政府部署，围绕医疗保障领域重点工作，坚持“公开为常态、不公开为例外”的工作原则，加强学习培训，完善公开的形式和内容，进一步加大信息公开力度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</w:rPr>
        <w:t>增强政务公开的自觉性和主动性，保障人民群众依法行使知情权、参与权、表达权、监督权，不断提升医疗保障部门政务公开工作水平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六、其他需要报告的事项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无</w:t>
      </w: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before="0" w:beforeAutospacing="0" w:after="240" w:afterAutospacing="0" w:line="560" w:lineRule="atLeas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15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1"/>
    <w:rsid w:val="007F7707"/>
    <w:rsid w:val="00B15AFE"/>
    <w:rsid w:val="00C454B1"/>
    <w:rsid w:val="02B0670C"/>
    <w:rsid w:val="0B927B7F"/>
    <w:rsid w:val="11D95B03"/>
    <w:rsid w:val="19575F1E"/>
    <w:rsid w:val="512A0065"/>
    <w:rsid w:val="619F1131"/>
    <w:rsid w:val="7EC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</Words>
  <Characters>1409</Characters>
  <Lines>11</Lines>
  <Paragraphs>3</Paragraphs>
  <TotalTime>17</TotalTime>
  <ScaleCrop>false</ScaleCrop>
  <LinksUpToDate>false</LinksUpToDate>
  <CharactersWithSpaces>1653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2020-07-03T02:44:00Z</dcterms:created>
  <dc:creator>Administrator</dc:creator>
  <cp:lastModifiedBy>Administrator</cp:lastModifiedBy>
  <dcterms:modified xsi:type="dcterms:W3CDTF">2022-01-18T08:40:39Z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58774A32EAF54BAA9F5A870A02E8B29D</vt:lpwstr>
  </property>
</Properties>
</file>