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Autospacing="0"/>
        <w:ind w:firstLine="660" w:firstLineChars="200"/>
        <w:rPr>
          <w:rFonts w:ascii="微软雅黑" w:hAnsi="微软雅黑" w:eastAsia="微软雅黑" w:cs="微软雅黑"/>
          <w:b/>
          <w:i w:val="0"/>
          <w:caps w:val="0"/>
          <w:color w:val="3D3D3D"/>
          <w:spacing w:val="0"/>
          <w:sz w:val="33"/>
          <w:szCs w:val="33"/>
          <w:shd w:val="clear" w:fill="FFFFFF"/>
        </w:rPr>
      </w:pPr>
      <w:bookmarkStart w:id="0" w:name="_GoBack"/>
      <w:bookmarkEnd w:id="0"/>
      <w:r>
        <w:rPr>
          <w:rFonts w:hint="eastAsia" w:ascii="微软雅黑" w:hAnsi="微软雅黑" w:eastAsia="微软雅黑" w:cs="微软雅黑"/>
          <w:b/>
          <w:i w:val="0"/>
          <w:caps w:val="0"/>
          <w:color w:val="3D3D3D"/>
          <w:spacing w:val="0"/>
          <w:sz w:val="33"/>
          <w:szCs w:val="33"/>
          <w:shd w:val="clear" w:fill="FFFFFF"/>
          <w:lang w:eastAsia="zh-CN"/>
        </w:rPr>
        <w:t>曲阜市</w:t>
      </w:r>
      <w:r>
        <w:rPr>
          <w:rFonts w:ascii="微软雅黑" w:hAnsi="微软雅黑" w:eastAsia="微软雅黑" w:cs="微软雅黑"/>
          <w:b/>
          <w:i w:val="0"/>
          <w:caps w:val="0"/>
          <w:color w:val="3D3D3D"/>
          <w:spacing w:val="0"/>
          <w:sz w:val="33"/>
          <w:szCs w:val="33"/>
          <w:shd w:val="clear" w:fill="FFFFFF"/>
        </w:rPr>
        <w:t>审计局2017年政府信息公开年度报告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firstLineChars="200"/>
        <w:jc w:val="left"/>
        <w:rPr>
          <w:rFonts w:ascii="微软雅黑" w:hAnsi="微软雅黑" w:eastAsia="微软雅黑" w:cs="微软雅黑"/>
          <w:b w:val="0"/>
          <w:i w:val="0"/>
          <w:caps w:val="0"/>
          <w:color w:val="3D3D3D"/>
          <w:spacing w:val="0"/>
          <w:sz w:val="22"/>
          <w:szCs w:val="22"/>
        </w:rPr>
      </w:pPr>
      <w:r>
        <w:rPr>
          <w:rFonts w:ascii="仿宋" w:hAnsi="仿宋" w:eastAsia="仿宋" w:cs="仿宋"/>
          <w:b w:val="0"/>
          <w:i w:val="0"/>
          <w:caps w:val="0"/>
          <w:color w:val="3D3D3D"/>
          <w:spacing w:val="0"/>
          <w:sz w:val="31"/>
          <w:szCs w:val="31"/>
          <w:bdr w:val="none" w:color="auto" w:sz="0" w:space="0"/>
          <w:shd w:val="clear" w:fill="FFFFFF"/>
        </w:rPr>
        <w:t>201</w:t>
      </w:r>
      <w:r>
        <w:rPr>
          <w:rFonts w:hint="eastAsia" w:ascii="仿宋" w:hAnsi="仿宋" w:eastAsia="仿宋" w:cs="仿宋"/>
          <w:b w:val="0"/>
          <w:i w:val="0"/>
          <w:caps w:val="0"/>
          <w:color w:val="3D3D3D"/>
          <w:spacing w:val="0"/>
          <w:sz w:val="31"/>
          <w:szCs w:val="31"/>
          <w:bdr w:val="none" w:color="auto" w:sz="0" w:space="0"/>
          <w:shd w:val="clear" w:fill="FFFFFF"/>
        </w:rPr>
        <w:t>7年，我局在区政府办公室正确指导下，全面落实《政府信息公开条例》，及时主动向社会公布审计内容和审计情况，积极稳妥地推进政府信息公开，为提高审计工作透明度，推进依法行政依法审计，促进我区经济平稳健康发展发挥了积极作用。同时加强监督,将政府信息公开情况纳入年度工作考核体系，通过公开投诉电话、电子邮箱，在局会议室设立意见箱等方式，广泛听取社会各界的意见和建议，有力地推动了政府信息公开工作的规范、有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D3D3D"/>
          <w:spacing w:val="0"/>
          <w:sz w:val="22"/>
          <w:szCs w:val="22"/>
        </w:rPr>
      </w:pPr>
      <w:r>
        <w:rPr>
          <w:rFonts w:ascii="黑体" w:hAnsi="宋体" w:eastAsia="黑体" w:cs="黑体"/>
          <w:b w:val="0"/>
          <w:i w:val="0"/>
          <w:caps w:val="0"/>
          <w:color w:val="3D3D3D"/>
          <w:spacing w:val="0"/>
          <w:sz w:val="31"/>
          <w:szCs w:val="31"/>
          <w:bdr w:val="none" w:color="auto" w:sz="0" w:space="0"/>
          <w:shd w:val="clear" w:fill="FFFFFF"/>
        </w:rPr>
        <w:t> 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 我局领导高度重视政府信息公开工作，把政府信息公开工作摆在突出位置，多次召开专题会议研究部署。制定了政府信息公开工作计划，编制了政府信息公开指南和公开目录。结合审计工作实际，将政府信息公开任务分解到各个科室、局属各单位。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 二、主动公开政府信息以及公开平台建设情况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（二）政府信息公开平台建设情况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 1、政府网站。根据区政府统一安排部署，扎实做好我局在区政府网“政务信息公开”栏目的日常管理和维护工作。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 2、政府信息查阅室。局信息宣传小组是我局信息查阅室及资料索取点，该小组及局信息查阅室设在局办公室，该科室明确1名工作人员为群众查阅信息服务。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三、政府信息公开申请办理情况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2017年度，未有公民、法人或其他组织向我单位申请公开信息情况。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四、政府信息公开收费及减免情况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    2017年度，我单位无政府信息公开收费及减免情况。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五、因政府信息公开申请提起行政复议、行政诉讼的情况。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    2017年度，我单位没有发生因政府信息公开申请行政复议、提起行政诉讼的情况。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六、政府信息公开保密审查及监督检查情况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在开展政府信息公开工作中，严格执行保密审查的有关规定和制度，对拟公开的政府信息进行严格审查。严格按照《保密法》对涉密文件进行分类，禁止保存在与互联网相连的计算机中，禁止通过网络传递。进行月度监督检查，确保该公开的必须公开，依申请公开的依据公民的申请公开，有效杜绝了失密、泄密问题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七、所属事业单位信息公开工作推进措施和落实情况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2017年，我局把所属事业单位信息公开工作作为年度政府信息公开的一项重要内容，积极推进有关工作，切实保障了人民群众的知情权、参与权、监督权和表达权。截至目前，我局所属事业单位均按照有关规定落实了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八、2017年度人大政协建议提案办理总体情况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2017年度，我局无人大政协建议提案办理事项。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黑体" w:hAnsi="宋体" w:eastAsia="黑体" w:cs="黑体"/>
          <w:b w:val="0"/>
          <w:i w:val="0"/>
          <w:caps w:val="0"/>
          <w:color w:val="3D3D3D"/>
          <w:spacing w:val="0"/>
          <w:sz w:val="31"/>
          <w:szCs w:val="31"/>
          <w:bdr w:val="none" w:color="auto" w:sz="0" w:space="0"/>
          <w:shd w:val="clear" w:fill="FFFFFF"/>
        </w:rPr>
        <w:t>九、政府信息公开工作存在的主要问题及改进情况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2017年，我单位政府信息公开工作取得一定成效，但对照上级要求、与兄弟单位相比还存在一定差距。2018年，将重点做好以下几方面工作：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一是丰富信息公开内容。以社会需求为导向，选择若干社会关注度高的信息作为突破口，逐步形成不同领域信息的公开规则，不断丰富信息公开的内容。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二是加强信息公开基础。加强政府信息公开基础性工作，强化对领导干部和信息公开业务人员的培训，提升信息公开意识，提升信息公开业务水平；强化舆论宣传，通过宣传栏、标语以及网站、报纸、电视等各种媒体，强化宣传的力度、广度与深度，积极引导社会公众正确行使知情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三是进一步加强调查研究。针对政府信息公开过程中出现的问题，进一步加强调查研究，不断总结经验，有针对性地改进工作，提高政府信息公开工作的质量和水平。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2"/>
          <w:szCs w:val="22"/>
        </w:rPr>
      </w:pPr>
      <w:r>
        <w:rPr>
          <w:rFonts w:hint="eastAsia" w:ascii="仿宋" w:hAnsi="仿宋" w:eastAsia="仿宋" w:cs="仿宋"/>
          <w:b w:val="0"/>
          <w:i w:val="0"/>
          <w:caps w:val="0"/>
          <w:color w:val="3D3D3D"/>
          <w:spacing w:val="0"/>
          <w:sz w:val="31"/>
          <w:szCs w:val="31"/>
          <w:bdr w:val="none" w:color="auto" w:sz="0" w:space="0"/>
          <w:shd w:val="clear" w:fill="FFFFFF"/>
        </w:rPr>
        <w:t>四是切实增强公开效果。采用人民群众喜闻乐见的公开形式，让群众听得清楚、看得明白、知得具体，便于知情、参与、监督。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0"/>
        <w:jc w:val="left"/>
        <w:rPr>
          <w:rFonts w:hint="eastAsia" w:ascii="微软雅黑" w:hAnsi="微软雅黑" w:eastAsia="微软雅黑" w:cs="微软雅黑"/>
          <w:b w:val="0"/>
          <w:i w:val="0"/>
          <w:caps w:val="0"/>
          <w:color w:val="3D3D3D"/>
          <w:spacing w:val="0"/>
          <w:sz w:val="22"/>
          <w:szCs w:val="22"/>
        </w:rPr>
      </w:pPr>
      <w:r>
        <w:rPr>
          <w:rFonts w:ascii="方正小标宋简体" w:hAnsi="方正小标宋简体" w:eastAsia="方正小标宋简体" w:cs="方正小标宋简体"/>
          <w:b w:val="0"/>
          <w:i w:val="0"/>
          <w:caps w:val="0"/>
          <w:color w:val="3D3D3D"/>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0"/>
        <w:jc w:val="center"/>
        <w:rPr>
          <w:rFonts w:hint="eastAsia" w:ascii="微软雅黑" w:hAnsi="微软雅黑" w:eastAsia="微软雅黑" w:cs="微软雅黑"/>
          <w:b w:val="0"/>
          <w:i w:val="0"/>
          <w:caps w:val="0"/>
          <w:color w:val="3D3D3D"/>
          <w:spacing w:val="0"/>
          <w:sz w:val="22"/>
          <w:szCs w:val="22"/>
        </w:rPr>
      </w:pPr>
      <w:r>
        <w:rPr>
          <w:rFonts w:hint="eastAsia" w:ascii="方正小标宋简体" w:hAnsi="方正小标宋简体" w:eastAsia="方正小标宋简体" w:cs="方正小标宋简体"/>
          <w:b w:val="0"/>
          <w:i w:val="0"/>
          <w:caps w:val="0"/>
          <w:color w:val="3D3D3D"/>
          <w:spacing w:val="0"/>
          <w:sz w:val="43"/>
          <w:szCs w:val="43"/>
          <w:bdr w:val="none" w:color="auto" w:sz="0" w:space="0"/>
          <w:shd w:val="clear" w:fill="FFFFFF"/>
        </w:rPr>
        <w:t>201</w:t>
      </w:r>
      <w:r>
        <w:rPr>
          <w:rFonts w:hint="eastAsia" w:ascii="方正小标宋简体" w:hAnsi="方正小标宋简体" w:eastAsia="方正小标宋简体" w:cs="方正小标宋简体"/>
          <w:b w:val="0"/>
          <w:i w:val="0"/>
          <w:caps w:val="0"/>
          <w:color w:val="3D3D3D"/>
          <w:spacing w:val="0"/>
          <w:sz w:val="43"/>
          <w:szCs w:val="43"/>
          <w:bdr w:val="none" w:color="auto" w:sz="0" w:space="0"/>
          <w:shd w:val="clear" w:fill="FFFFFF"/>
          <w:lang w:val="en-US" w:eastAsia="zh-CN"/>
        </w:rPr>
        <w:t>7</w:t>
      </w:r>
      <w:r>
        <w:rPr>
          <w:rFonts w:hint="eastAsia" w:ascii="方正小标宋简体" w:hAnsi="方正小标宋简体" w:eastAsia="方正小标宋简体" w:cs="方正小标宋简体"/>
          <w:b w:val="0"/>
          <w:i w:val="0"/>
          <w:caps w:val="0"/>
          <w:color w:val="3D3D3D"/>
          <w:spacing w:val="0"/>
          <w:sz w:val="43"/>
          <w:szCs w:val="43"/>
          <w:bdr w:val="none" w:color="auto" w:sz="0" w:space="0"/>
          <w:shd w:val="clear" w:fill="FFFFFF"/>
        </w:rPr>
        <w:t>年度政府信息公开工作情况统计表</w:t>
      </w:r>
    </w:p>
    <w:tbl>
      <w:tblPr>
        <w:tblW w:w="8670" w:type="dxa"/>
        <w:jc w:val="center"/>
        <w:tblInd w:w="-18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062"/>
        <w:gridCol w:w="781"/>
        <w:gridCol w:w="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30" w:hRule="atLeast"/>
          <w:jc w:val="center"/>
        </w:trPr>
        <w:tc>
          <w:tcPr>
            <w:tcW w:w="7062" w:type="dxa"/>
            <w:tcBorders>
              <w:top w:val="inset" w:color="000000" w:sz="6" w:space="0"/>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5"/>
              <w:jc w:val="center"/>
            </w:pPr>
            <w:r>
              <w:rPr>
                <w:rFonts w:hint="eastAsia" w:ascii="黑体" w:hAnsi="宋体" w:eastAsia="黑体" w:cs="黑体"/>
                <w:color w:val="000000"/>
                <w:sz w:val="24"/>
                <w:szCs w:val="24"/>
                <w:bdr w:val="none" w:color="auto" w:sz="0" w:space="0"/>
              </w:rPr>
              <w:t>统　计　指　标</w:t>
            </w:r>
          </w:p>
        </w:tc>
        <w:tc>
          <w:tcPr>
            <w:tcW w:w="781" w:type="dxa"/>
            <w:tcBorders>
              <w:top w:val="inset" w:color="000000" w:sz="6" w:space="0"/>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color w:val="000000"/>
                <w:sz w:val="24"/>
                <w:szCs w:val="24"/>
                <w:bdr w:val="none" w:color="auto" w:sz="0" w:space="0"/>
              </w:rPr>
              <w:t>单位</w:t>
            </w:r>
          </w:p>
        </w:tc>
        <w:tc>
          <w:tcPr>
            <w:tcW w:w="827" w:type="dxa"/>
            <w:tcBorders>
              <w:top w:val="inset" w:color="000000" w:sz="6" w:space="0"/>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color w:val="000000"/>
                <w:sz w:val="24"/>
                <w:szCs w:val="24"/>
                <w:bdr w:val="none" w:color="auto" w:sz="0" w:space="0"/>
              </w:rPr>
              <w:t>统计数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黑体" w:hAnsi="宋体" w:eastAsia="黑体" w:cs="黑体"/>
                <w:color w:val="000000"/>
                <w:sz w:val="24"/>
                <w:szCs w:val="24"/>
                <w:bdr w:val="none" w:color="auto" w:sz="0" w:space="0"/>
              </w:rPr>
              <w:t>一、主动公开情况</w:t>
            </w:r>
          </w:p>
        </w:tc>
        <w:tc>
          <w:tcPr>
            <w:tcW w:w="781"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left"/>
              <w:rPr>
                <w:rFonts w:hint="eastAsia" w:ascii="微软雅黑" w:hAnsi="微软雅黑" w:eastAsia="微软雅黑" w:cs="微软雅黑"/>
                <w:color w:val="676767"/>
                <w:sz w:val="18"/>
                <w:szCs w:val="18"/>
              </w:rPr>
            </w:pPr>
          </w:p>
        </w:tc>
        <w:tc>
          <w:tcPr>
            <w:tcW w:w="827"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center"/>
              <w:rPr>
                <w:rFonts w:hint="eastAsia" w:ascii="微软雅黑" w:hAnsi="微软雅黑" w:eastAsia="微软雅黑" w:cs="微软雅黑"/>
                <w:color w:val="676767"/>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（一）</w:t>
            </w:r>
            <w:r>
              <w:rPr>
                <w:rFonts w:hint="eastAsia" w:ascii="宋体" w:hAnsi="宋体" w:eastAsia="宋体" w:cs="宋体"/>
                <w:color w:val="000000"/>
                <w:spacing w:val="-15"/>
                <w:sz w:val="24"/>
                <w:szCs w:val="24"/>
                <w:bdr w:val="none" w:color="auto" w:sz="0" w:space="0"/>
              </w:rPr>
              <w:t>主动公开政府信息数（不同渠道和方式公开相同信息计1条）</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其中：主动公开规范性文件数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制发规范性文件总数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（二）通过不同渠道和方式公开政府信息的情况</w:t>
            </w:r>
          </w:p>
        </w:tc>
        <w:tc>
          <w:tcPr>
            <w:tcW w:w="781"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left"/>
              <w:rPr>
                <w:rFonts w:hint="eastAsia" w:ascii="微软雅黑" w:hAnsi="微软雅黑" w:eastAsia="微软雅黑" w:cs="微软雅黑"/>
                <w:color w:val="676767"/>
                <w:sz w:val="18"/>
                <w:szCs w:val="18"/>
              </w:rPr>
            </w:pPr>
          </w:p>
        </w:tc>
        <w:tc>
          <w:tcPr>
            <w:tcW w:w="827"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center"/>
              <w:rPr>
                <w:rFonts w:hint="eastAsia" w:ascii="微软雅黑" w:hAnsi="微软雅黑" w:eastAsia="微软雅黑" w:cs="微软雅黑"/>
                <w:color w:val="676767"/>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1.政府公报公开政府信息数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2.政府网站公开政府信息数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3.政务微博公开政府信息数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4.政务微信公开政府信息数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5.其他方式公开政府信息数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黑体" w:hAnsi="宋体" w:eastAsia="黑体" w:cs="黑体"/>
                <w:color w:val="000000"/>
                <w:sz w:val="24"/>
                <w:szCs w:val="24"/>
                <w:bdr w:val="none" w:color="auto" w:sz="0" w:space="0"/>
              </w:rPr>
              <w:t>二、回应解读情况</w:t>
            </w:r>
          </w:p>
        </w:tc>
        <w:tc>
          <w:tcPr>
            <w:tcW w:w="781"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left"/>
              <w:rPr>
                <w:rFonts w:hint="eastAsia" w:ascii="微软雅黑" w:hAnsi="微软雅黑" w:eastAsia="微软雅黑" w:cs="微软雅黑"/>
                <w:color w:val="676767"/>
                <w:sz w:val="18"/>
                <w:szCs w:val="18"/>
              </w:rPr>
            </w:pPr>
          </w:p>
        </w:tc>
        <w:tc>
          <w:tcPr>
            <w:tcW w:w="827" w:type="dxa"/>
            <w:tcBorders>
              <w:top w:val="nil"/>
              <w:left w:val="nil"/>
              <w:bottom w:val="single" w:color="auto" w:sz="6" w:space="0"/>
              <w:right w:val="single" w:color="0A0A0A" w:sz="6" w:space="0"/>
            </w:tcBorders>
            <w:shd w:val="clear" w:color="auto" w:fill="FFFFFF"/>
            <w:vAlign w:val="top"/>
          </w:tcPr>
          <w:p>
            <w:pPr>
              <w:keepNext w:val="0"/>
              <w:keepLines w:val="0"/>
              <w:widowControl/>
              <w:suppressLineNumbers w:val="0"/>
              <w:spacing w:line="330" w:lineRule="atLeast"/>
              <w:jc w:val="center"/>
              <w:rPr>
                <w:rFonts w:hint="eastAsia" w:ascii="微软雅黑" w:hAnsi="微软雅黑" w:eastAsia="微软雅黑" w:cs="微软雅黑"/>
                <w:color w:val="676767"/>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jc w:val="left"/>
            </w:pPr>
            <w:r>
              <w:rPr>
                <w:rFonts w:hint="eastAsia" w:ascii="宋体" w:hAnsi="宋体" w:eastAsia="宋体" w:cs="宋体"/>
                <w:color w:val="000000"/>
                <w:sz w:val="24"/>
                <w:szCs w:val="24"/>
                <w:bdr w:val="none" w:color="auto" w:sz="0" w:space="0"/>
              </w:rPr>
              <w:t>（一）回应公众关注热点或重大舆情数（不同方式回应同一热点或舆情计1次）</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（二）通过不同渠道和方式回应解读的情况</w:t>
            </w:r>
          </w:p>
        </w:tc>
        <w:tc>
          <w:tcPr>
            <w:tcW w:w="781"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left"/>
              <w:rPr>
                <w:rFonts w:hint="eastAsia" w:ascii="微软雅黑" w:hAnsi="微软雅黑" w:eastAsia="微软雅黑" w:cs="微软雅黑"/>
                <w:color w:val="676767"/>
                <w:sz w:val="18"/>
                <w:szCs w:val="18"/>
              </w:rPr>
            </w:pPr>
          </w:p>
        </w:tc>
        <w:tc>
          <w:tcPr>
            <w:tcW w:w="827" w:type="dxa"/>
            <w:tcBorders>
              <w:top w:val="nil"/>
              <w:left w:val="nil"/>
              <w:bottom w:val="inset" w:color="000000" w:sz="6" w:space="0"/>
              <w:right w:val="inset" w:color="000000" w:sz="6" w:space="0"/>
            </w:tcBorders>
            <w:shd w:val="clear" w:color="auto" w:fill="FFFFFF"/>
            <w:vAlign w:val="top"/>
          </w:tcPr>
          <w:p>
            <w:pPr>
              <w:keepNext w:val="0"/>
              <w:keepLines w:val="0"/>
              <w:widowControl/>
              <w:suppressLineNumbers w:val="0"/>
              <w:spacing w:line="330" w:lineRule="atLeast"/>
              <w:jc w:val="center"/>
              <w:rPr>
                <w:rFonts w:hint="eastAsia" w:ascii="微软雅黑" w:hAnsi="微软雅黑" w:eastAsia="微软雅黑" w:cs="微软雅黑"/>
                <w:color w:val="676767"/>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1.参加或举办新闻发布会总次数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其中：主要负责同志参加新闻发布会次数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2.政府网站在线访谈次数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其中：主要负责同志参加政府网站在线访谈次数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3.政策解读稿件发布数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篇</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4.微博微信回应事件数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80"/>
            </w:pPr>
            <w:r>
              <w:rPr>
                <w:rFonts w:hint="eastAsia" w:ascii="宋体" w:hAnsi="宋体" w:eastAsia="宋体" w:cs="宋体"/>
                <w:color w:val="000000"/>
                <w:sz w:val="24"/>
                <w:szCs w:val="24"/>
                <w:bdr w:val="none" w:color="auto" w:sz="0" w:space="0"/>
              </w:rPr>
              <w:t>5.其他方式回应事件数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三、依申请公开情况</w:t>
            </w:r>
          </w:p>
        </w:tc>
        <w:tc>
          <w:tcPr>
            <w:tcW w:w="781"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left"/>
              <w:rPr>
                <w:rFonts w:hint="eastAsia" w:ascii="微软雅黑" w:hAnsi="微软雅黑" w:eastAsia="微软雅黑" w:cs="微软雅黑"/>
                <w:color w:val="676767"/>
                <w:sz w:val="18"/>
                <w:szCs w:val="18"/>
              </w:rPr>
            </w:pPr>
          </w:p>
        </w:tc>
        <w:tc>
          <w:tcPr>
            <w:tcW w:w="827" w:type="dxa"/>
            <w:tcBorders>
              <w:top w:val="nil"/>
              <w:left w:val="nil"/>
              <w:bottom w:val="single" w:color="auto" w:sz="6" w:space="0"/>
              <w:right w:val="single" w:color="0A0A0A" w:sz="6" w:space="0"/>
            </w:tcBorders>
            <w:shd w:val="clear" w:color="auto" w:fill="FFFFFF"/>
            <w:vAlign w:val="top"/>
          </w:tcPr>
          <w:p>
            <w:pPr>
              <w:keepNext w:val="0"/>
              <w:keepLines w:val="0"/>
              <w:widowControl/>
              <w:suppressLineNumbers w:val="0"/>
              <w:spacing w:line="330" w:lineRule="atLeast"/>
              <w:jc w:val="center"/>
              <w:rPr>
                <w:rFonts w:hint="eastAsia" w:ascii="微软雅黑" w:hAnsi="微软雅黑" w:eastAsia="微软雅黑" w:cs="微软雅黑"/>
                <w:color w:val="676767"/>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（一）收到申请数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1.当面申请数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2.传真申请数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3.网络申请数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single" w:color="auto"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4.信函申请数</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single" w:color="auto"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single" w:color="auto"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5.其他形式</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（二）申请办结数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1.按时办结数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2.延期办结数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（三）申请答复数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1.属于已主动公开范围数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2.同意公开答复数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3.同意部分公开答复数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4.不同意公开答复数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其中：涉及国家秘密</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涉及商业秘密</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涉及个人隐私</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危及国家安全、公共安全、经济安全和社会稳定</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不是《条例》所指政府信息</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法律法规规定的其他情形</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5.不属于本行政机关公开数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6.申请信息不存在数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7.告知作出更改补充数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8.告知通过其他途径办理数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四、行政复议数量</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（一）维持具体行政行为数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（二）被依法纠错数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（三）其他情形数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五、行政诉讼数量</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（一）维持具体行政行为或者驳回原告诉讼请求数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（二）被依法纠错数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（三）其他情形数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六、被举报投诉数量</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single" w:color="auto"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（一）维持具体行政行为数</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single" w:color="auto"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（二）被纠错数</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single" w:color="auto"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（三）其他情形数</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件</w:t>
            </w:r>
          </w:p>
        </w:tc>
        <w:tc>
          <w:tcPr>
            <w:tcW w:w="827" w:type="dxa"/>
            <w:tcBorders>
              <w:top w:val="nil"/>
              <w:left w:val="nil"/>
              <w:bottom w:val="single" w:color="auto"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七、向图书馆、档案馆等查阅场所报送信息数</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single" w:color="auto"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（一）纸质文件数</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single" w:color="auto"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（二）电子文件数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条</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八、依申请公开信息收取的费用</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万元</w:t>
            </w:r>
          </w:p>
        </w:tc>
        <w:tc>
          <w:tcPr>
            <w:tcW w:w="827" w:type="dxa"/>
            <w:tcBorders>
              <w:top w:val="nil"/>
              <w:left w:val="nil"/>
              <w:bottom w:val="inset" w:color="000000" w:sz="6" w:space="0"/>
              <w:right w:val="in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九、机构建设和保障经费情况</w:t>
            </w:r>
          </w:p>
        </w:tc>
        <w:tc>
          <w:tcPr>
            <w:tcW w:w="781"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left"/>
              <w:rPr>
                <w:rFonts w:hint="eastAsia" w:ascii="微软雅黑" w:hAnsi="微软雅黑" w:eastAsia="微软雅黑" w:cs="微软雅黑"/>
                <w:color w:val="676767"/>
                <w:sz w:val="18"/>
                <w:szCs w:val="18"/>
              </w:rPr>
            </w:pPr>
          </w:p>
        </w:tc>
        <w:tc>
          <w:tcPr>
            <w:tcW w:w="827"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center"/>
              <w:rPr>
                <w:rFonts w:hint="eastAsia" w:ascii="微软雅黑" w:hAnsi="微软雅黑" w:eastAsia="微软雅黑" w:cs="微软雅黑"/>
                <w:color w:val="676767"/>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（一）政府信息公开工作专门机构数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个</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（二）设置政府信息公开查阅点数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个</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（三）从事政府信息公开工作人员数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人</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1.专职人员数（不包括政府公报及政府网站工作人员数）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人</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2.兼职人员数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人</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90" w:hRule="atLeast"/>
          <w:jc w:val="center"/>
        </w:trPr>
        <w:tc>
          <w:tcPr>
            <w:tcW w:w="7062" w:type="dxa"/>
            <w:tcBorders>
              <w:top w:val="nil"/>
              <w:left w:val="inset" w:color="000000" w:sz="6" w:space="0"/>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（四）政府信息公开专项经费（不包括用于政府公报编辑管理及政府网站建设维护等方面的经费）</w:t>
            </w:r>
          </w:p>
        </w:tc>
        <w:tc>
          <w:tcPr>
            <w:tcW w:w="781" w:type="dxa"/>
            <w:tcBorders>
              <w:top w:val="nil"/>
              <w:left w:val="nil"/>
              <w:bottom w:val="single" w:color="auto"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万元</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黑体" w:hAnsi="宋体" w:eastAsia="黑体" w:cs="黑体"/>
                <w:color w:val="000000"/>
                <w:sz w:val="24"/>
                <w:szCs w:val="24"/>
                <w:bdr w:val="none" w:color="auto" w:sz="0" w:space="0"/>
              </w:rPr>
              <w:t>十、政府信息公开会议和培训情况</w:t>
            </w:r>
          </w:p>
        </w:tc>
        <w:tc>
          <w:tcPr>
            <w:tcW w:w="781"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left"/>
              <w:rPr>
                <w:rFonts w:hint="eastAsia" w:ascii="微软雅黑" w:hAnsi="微软雅黑" w:eastAsia="微软雅黑" w:cs="微软雅黑"/>
                <w:color w:val="676767"/>
                <w:sz w:val="18"/>
                <w:szCs w:val="18"/>
              </w:rPr>
            </w:pPr>
          </w:p>
        </w:tc>
        <w:tc>
          <w:tcPr>
            <w:tcW w:w="827" w:type="dxa"/>
            <w:tcBorders>
              <w:top w:val="nil"/>
              <w:left w:val="nil"/>
              <w:bottom w:val="inset" w:color="000000" w:sz="6" w:space="0"/>
              <w:right w:val="inset" w:color="000000" w:sz="6" w:space="0"/>
            </w:tcBorders>
            <w:shd w:val="clear" w:color="auto" w:fill="FFFFFF"/>
            <w:vAlign w:val="center"/>
          </w:tcPr>
          <w:p>
            <w:pPr>
              <w:keepNext w:val="0"/>
              <w:keepLines w:val="0"/>
              <w:widowControl/>
              <w:suppressLineNumbers w:val="0"/>
              <w:spacing w:line="330" w:lineRule="atLeast"/>
              <w:jc w:val="center"/>
              <w:rPr>
                <w:rFonts w:hint="eastAsia" w:ascii="微软雅黑" w:hAnsi="微软雅黑" w:eastAsia="微软雅黑" w:cs="微软雅黑"/>
                <w:color w:val="676767"/>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（一）召开政府信息公开工作会议或专题会议数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（二）举办各类培训班数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次</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7062" w:type="dxa"/>
            <w:tcBorders>
              <w:top w:val="nil"/>
              <w:left w:val="inset" w:color="000000" w:sz="6" w:space="0"/>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eastAsia" w:ascii="宋体" w:hAnsi="宋体" w:eastAsia="宋体" w:cs="宋体"/>
                <w:color w:val="000000"/>
                <w:sz w:val="24"/>
                <w:szCs w:val="24"/>
                <w:bdr w:val="none" w:color="auto" w:sz="0" w:space="0"/>
              </w:rPr>
              <w:t>（三）接受培训人员数</w:t>
            </w:r>
          </w:p>
        </w:tc>
        <w:tc>
          <w:tcPr>
            <w:tcW w:w="781"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人次</w:t>
            </w:r>
          </w:p>
        </w:tc>
        <w:tc>
          <w:tcPr>
            <w:tcW w:w="827" w:type="dxa"/>
            <w:tcBorders>
              <w:top w:val="nil"/>
              <w:left w:val="nil"/>
              <w:bottom w:val="inset" w:color="000000" w:sz="6" w:space="0"/>
              <w:right w:val="in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color w:val="000000"/>
                <w:sz w:val="24"/>
                <w:szCs w:val="24"/>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b w:val="0"/>
          <w:i w:val="0"/>
          <w:caps w:val="0"/>
          <w:color w:val="3D3D3D"/>
          <w:spacing w:val="0"/>
          <w:sz w:val="22"/>
          <w:szCs w:val="22"/>
        </w:rPr>
      </w:pPr>
      <w:r>
        <w:rPr>
          <w:rFonts w:hint="default" w:ascii="Times New Roman" w:hAnsi="Times New Roman" w:eastAsia="微软雅黑" w:cs="Times New Roman"/>
          <w:b w:val="0"/>
          <w:i w:val="0"/>
          <w:caps w:val="0"/>
          <w:color w:val="3D3D3D"/>
          <w:spacing w:val="0"/>
          <w:sz w:val="22"/>
          <w:szCs w:val="22"/>
          <w:bdr w:val="none" w:color="auto" w:sz="0" w:space="0"/>
          <w:shd w:val="clear" w:fill="FFFFFF"/>
        </w:rPr>
        <w:t> </w:t>
      </w:r>
    </w:p>
    <w:p>
      <w:pPr>
        <w:spacing w:after="240" w:afterAutospacing="0"/>
        <w:rPr>
          <w:rFonts w:ascii="微软雅黑" w:hAnsi="微软雅黑" w:eastAsia="微软雅黑" w:cs="微软雅黑"/>
          <w:b/>
          <w:i w:val="0"/>
          <w:caps w:val="0"/>
          <w:color w:val="3D3D3D"/>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9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kelala</dc:creator>
  <cp:lastModifiedBy>朱雯雯</cp:lastModifiedBy>
  <dcterms:modified xsi:type="dcterms:W3CDTF">2020-06-29T09:55:19Z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