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bookmarkStart w:id="1" w:name="_GoBack"/>
      <w:bookmarkEnd w:id="1"/>
      <w:r>
        <w:rPr>
          <w:rFonts w:hint="eastAsia" w:ascii="方正小标宋简体" w:hAnsi="方正小标宋简体" w:eastAsia="方正小标宋简体" w:cs="方正小标宋简体"/>
          <w:b/>
          <w:bCs/>
          <w:sz w:val="44"/>
          <w:szCs w:val="44"/>
          <w:lang w:val="en-US" w:eastAsia="zh-CN"/>
        </w:rPr>
        <w:t>曲阜市自然资源和规划局2019年政府信息公开工作年度报告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D3D3D"/>
          <w:spacing w:val="0"/>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caps w:val="0"/>
          <w:color w:val="3D3D3D"/>
          <w:spacing w:val="0"/>
          <w:sz w:val="30"/>
          <w:szCs w:val="30"/>
          <w:lang w:eastAsia="zh-CN"/>
        </w:rPr>
      </w:pPr>
      <w:r>
        <w:rPr>
          <w:rFonts w:hint="eastAsia" w:ascii="仿宋" w:hAnsi="仿宋" w:eastAsia="仿宋" w:cs="仿宋"/>
          <w:i w:val="0"/>
          <w:caps w:val="0"/>
          <w:color w:val="3D3D3D"/>
          <w:spacing w:val="0"/>
          <w:sz w:val="28"/>
          <w:szCs w:val="28"/>
          <w:lang w:val="en-US" w:eastAsia="zh-CN"/>
        </w:rPr>
        <w:t xml:space="preserve">    </w:t>
      </w:r>
      <w:r>
        <w:rPr>
          <w:rFonts w:hint="eastAsia" w:ascii="仿宋" w:hAnsi="仿宋" w:eastAsia="仿宋" w:cs="仿宋"/>
          <w:i w:val="0"/>
          <w:caps w:val="0"/>
          <w:color w:val="3D3D3D"/>
          <w:spacing w:val="0"/>
          <w:sz w:val="30"/>
          <w:szCs w:val="30"/>
          <w:lang w:eastAsia="zh-CN"/>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w:t>
      </w:r>
      <w:r>
        <w:rPr>
          <w:rFonts w:hint="eastAsia" w:ascii="仿宋" w:hAnsi="仿宋" w:eastAsia="仿宋" w:cs="仿宋"/>
          <w:i w:val="0"/>
          <w:caps w:val="0"/>
          <w:color w:val="3D3D3D"/>
          <w:spacing w:val="0"/>
          <w:sz w:val="30"/>
          <w:szCs w:val="30"/>
          <w:lang w:val="en-US" w:eastAsia="zh-CN"/>
        </w:rPr>
        <w:t>自然资源和规划局</w:t>
      </w:r>
      <w:r>
        <w:rPr>
          <w:rFonts w:hint="eastAsia" w:ascii="仿宋" w:hAnsi="仿宋" w:eastAsia="仿宋" w:cs="仿宋"/>
          <w:i w:val="0"/>
          <w:caps w:val="0"/>
          <w:color w:val="3D3D3D"/>
          <w:spacing w:val="0"/>
          <w:sz w:val="30"/>
          <w:szCs w:val="30"/>
          <w:lang w:eastAsia="zh-CN"/>
        </w:rPr>
        <w:t>信息公开工作年度报告。本年报包括总体情况、主动公开政府信息情况、收到和处理政府信息公开申请情况、政府信息公开行政复议及行政诉讼情况、存在的主要问题及改进情况、其它需要报告的事项六部分。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caps w:val="0"/>
          <w:color w:val="3D3D3D"/>
          <w:spacing w:val="0"/>
          <w:sz w:val="30"/>
          <w:szCs w:val="30"/>
          <w:lang w:eastAsia="zh-CN"/>
        </w:rPr>
      </w:pPr>
      <w:r>
        <w:rPr>
          <w:rFonts w:hint="eastAsia" w:ascii="仿宋" w:hAnsi="仿宋" w:eastAsia="仿宋" w:cs="仿宋"/>
          <w:i w:val="0"/>
          <w:caps w:val="0"/>
          <w:color w:val="3D3D3D"/>
          <w:spacing w:val="0"/>
          <w:sz w:val="30"/>
          <w:szCs w:val="30"/>
          <w:lang w:val="en-US" w:eastAsia="zh-CN"/>
        </w:rPr>
        <w:t xml:space="preserve">    </w:t>
      </w:r>
      <w:r>
        <w:rPr>
          <w:rFonts w:hint="eastAsia" w:ascii="仿宋" w:hAnsi="仿宋" w:eastAsia="仿宋" w:cs="仿宋"/>
          <w:i w:val="0"/>
          <w:caps w:val="0"/>
          <w:color w:val="3D3D3D"/>
          <w:spacing w:val="0"/>
          <w:sz w:val="30"/>
          <w:szCs w:val="30"/>
          <w:lang w:eastAsia="zh-CN"/>
        </w:rPr>
        <w:t>本年度报告中所列数据统计期限从2019年1月1日到12月31日止。本年度报告电子版可从“曲阜市人民政府网站”（www.qufu.gov.cn）下载。如对本年度报告有疑问，请与曲阜市</w:t>
      </w:r>
      <w:r>
        <w:rPr>
          <w:rFonts w:hint="eastAsia" w:ascii="仿宋" w:hAnsi="仿宋" w:eastAsia="仿宋" w:cs="仿宋"/>
          <w:i w:val="0"/>
          <w:caps w:val="0"/>
          <w:color w:val="3D3D3D"/>
          <w:spacing w:val="0"/>
          <w:sz w:val="30"/>
          <w:szCs w:val="30"/>
          <w:lang w:val="en-US" w:eastAsia="zh-CN"/>
        </w:rPr>
        <w:t>自然资源和规划局</w:t>
      </w:r>
      <w:r>
        <w:rPr>
          <w:rFonts w:hint="eastAsia" w:ascii="仿宋" w:hAnsi="仿宋" w:eastAsia="仿宋" w:cs="仿宋"/>
          <w:i w:val="0"/>
          <w:caps w:val="0"/>
          <w:color w:val="3D3D3D"/>
          <w:spacing w:val="0"/>
          <w:sz w:val="30"/>
          <w:szCs w:val="30"/>
          <w:lang w:eastAsia="zh-CN"/>
        </w:rPr>
        <w:t>办公室联系（地址：曲阜市</w:t>
      </w:r>
      <w:r>
        <w:rPr>
          <w:rFonts w:hint="eastAsia" w:ascii="仿宋" w:hAnsi="仿宋" w:eastAsia="仿宋" w:cs="仿宋"/>
          <w:i w:val="0"/>
          <w:caps w:val="0"/>
          <w:color w:val="3D3D3D"/>
          <w:spacing w:val="0"/>
          <w:sz w:val="30"/>
          <w:szCs w:val="30"/>
          <w:lang w:val="en-US" w:eastAsia="zh-CN"/>
        </w:rPr>
        <w:t>大同路</w:t>
      </w:r>
      <w:r>
        <w:rPr>
          <w:rFonts w:hint="eastAsia" w:ascii="仿宋" w:hAnsi="仿宋" w:eastAsia="仿宋" w:cs="仿宋"/>
          <w:i w:val="0"/>
          <w:caps w:val="0"/>
          <w:color w:val="3D3D3D"/>
          <w:spacing w:val="0"/>
          <w:sz w:val="30"/>
          <w:szCs w:val="30"/>
          <w:lang w:eastAsia="zh-CN"/>
        </w:rPr>
        <w:t>路</w:t>
      </w:r>
      <w:r>
        <w:rPr>
          <w:rFonts w:hint="eastAsia" w:ascii="仿宋" w:hAnsi="仿宋" w:eastAsia="仿宋" w:cs="仿宋"/>
          <w:i w:val="0"/>
          <w:caps w:val="0"/>
          <w:color w:val="3D3D3D"/>
          <w:spacing w:val="0"/>
          <w:sz w:val="30"/>
          <w:szCs w:val="30"/>
          <w:lang w:val="en-US" w:eastAsia="zh-CN"/>
        </w:rPr>
        <w:t>5</w:t>
      </w:r>
      <w:r>
        <w:rPr>
          <w:rFonts w:hint="eastAsia" w:ascii="仿宋" w:hAnsi="仿宋" w:eastAsia="仿宋" w:cs="仿宋"/>
          <w:i w:val="0"/>
          <w:caps w:val="0"/>
          <w:color w:val="3D3D3D"/>
          <w:spacing w:val="0"/>
          <w:sz w:val="30"/>
          <w:szCs w:val="30"/>
          <w:lang w:eastAsia="zh-CN"/>
        </w:rPr>
        <w:t>号；邮编：273100；电话:0537-</w:t>
      </w:r>
      <w:r>
        <w:rPr>
          <w:rFonts w:hint="eastAsia" w:ascii="仿宋" w:hAnsi="仿宋" w:eastAsia="仿宋" w:cs="仿宋"/>
          <w:i w:val="0"/>
          <w:caps w:val="0"/>
          <w:color w:val="3D3D3D"/>
          <w:spacing w:val="0"/>
          <w:sz w:val="30"/>
          <w:szCs w:val="30"/>
          <w:lang w:val="en-US" w:eastAsia="zh-CN"/>
        </w:rPr>
        <w:t>3735797</w:t>
      </w:r>
      <w:r>
        <w:rPr>
          <w:rFonts w:hint="eastAsia" w:ascii="仿宋" w:hAnsi="仿宋" w:eastAsia="仿宋" w:cs="仿宋"/>
          <w:i w:val="0"/>
          <w:caps w:val="0"/>
          <w:color w:val="3D3D3D"/>
          <w:spacing w:val="0"/>
          <w:sz w:val="30"/>
          <w:szCs w:val="30"/>
          <w:lang w:eastAsia="zh-CN"/>
        </w:rPr>
        <w:t>；电子邮箱：‍qfsgtzyj_bangongshi@ji.shandong.cn</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420"/>
        <w:jc w:val="both"/>
        <w:rPr>
          <w:rFonts w:hint="eastAsia" w:ascii="仿宋" w:hAnsi="仿宋" w:eastAsia="仿宋" w:cs="仿宋"/>
          <w:b w:val="0"/>
          <w:color w:val="333333"/>
          <w:sz w:val="30"/>
          <w:szCs w:val="30"/>
          <w:lang w:val="en-US" w:eastAsia="zh-CN"/>
        </w:rPr>
      </w:pPr>
      <w:r>
        <w:rPr>
          <w:rFonts w:hint="eastAsia" w:ascii="仿宋" w:hAnsi="仿宋" w:eastAsia="仿宋" w:cs="仿宋"/>
          <w:b w:val="0"/>
          <w:color w:val="333333"/>
          <w:sz w:val="30"/>
          <w:szCs w:val="30"/>
          <w:lang w:val="en-US" w:eastAsia="zh-CN"/>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00" w:firstLineChars="200"/>
        <w:jc w:val="both"/>
        <w:rPr>
          <w:rFonts w:hint="default" w:ascii="仿宋" w:hAnsi="仿宋" w:eastAsia="仿宋" w:cs="仿宋"/>
          <w:b w:val="0"/>
          <w:color w:val="333333"/>
          <w:sz w:val="30"/>
          <w:szCs w:val="30"/>
          <w:lang w:val="en-US" w:eastAsia="zh-CN"/>
        </w:rPr>
      </w:pPr>
      <w:r>
        <w:rPr>
          <w:rFonts w:hint="default" w:ascii="仿宋" w:hAnsi="仿宋" w:eastAsia="仿宋" w:cs="仿宋"/>
          <w:b w:val="0"/>
          <w:color w:val="333333"/>
          <w:sz w:val="30"/>
          <w:szCs w:val="30"/>
          <w:lang w:val="en-US" w:eastAsia="zh-CN"/>
        </w:rPr>
        <w:t>2019年，曲阜市</w:t>
      </w:r>
      <w:r>
        <w:rPr>
          <w:rFonts w:hint="eastAsia" w:ascii="仿宋" w:hAnsi="仿宋" w:eastAsia="仿宋" w:cs="仿宋"/>
          <w:b w:val="0"/>
          <w:color w:val="333333"/>
          <w:sz w:val="30"/>
          <w:szCs w:val="30"/>
          <w:lang w:val="en-US" w:eastAsia="zh-CN"/>
        </w:rPr>
        <w:t>自然资源和规划</w:t>
      </w:r>
      <w:r>
        <w:rPr>
          <w:rFonts w:hint="default" w:ascii="仿宋" w:hAnsi="仿宋" w:eastAsia="仿宋" w:cs="仿宋"/>
          <w:b w:val="0"/>
          <w:color w:val="333333"/>
          <w:sz w:val="30"/>
          <w:szCs w:val="30"/>
          <w:lang w:val="en-US" w:eastAsia="zh-CN"/>
        </w:rPr>
        <w:t>局在市政府信息公开办公室的指导下，认真贯彻落实国家、省、市对政府信息公开工作的要求，把政府信息公开作为一项重要工作来抓，充分利用网站在允许公开的范围内，紧紧围绕</w:t>
      </w:r>
      <w:r>
        <w:rPr>
          <w:rFonts w:hint="eastAsia" w:ascii="仿宋" w:hAnsi="仿宋" w:eastAsia="仿宋" w:cs="仿宋"/>
          <w:b w:val="0"/>
          <w:color w:val="333333"/>
          <w:sz w:val="30"/>
          <w:szCs w:val="30"/>
          <w:lang w:val="en-US" w:eastAsia="zh-CN"/>
        </w:rPr>
        <w:t>自然资源管理</w:t>
      </w:r>
      <w:r>
        <w:rPr>
          <w:rFonts w:hint="default" w:ascii="仿宋" w:hAnsi="仿宋" w:eastAsia="仿宋" w:cs="仿宋"/>
          <w:b w:val="0"/>
          <w:color w:val="333333"/>
          <w:sz w:val="30"/>
          <w:szCs w:val="30"/>
          <w:lang w:val="en-US" w:eastAsia="zh-CN"/>
        </w:rPr>
        <w:t>，及时更新、发布群众普遍关心的各项工作信息，不断提高</w:t>
      </w:r>
      <w:r>
        <w:rPr>
          <w:rFonts w:hint="eastAsia" w:ascii="仿宋" w:hAnsi="仿宋" w:eastAsia="仿宋" w:cs="仿宋"/>
          <w:b w:val="0"/>
          <w:color w:val="333333"/>
          <w:sz w:val="30"/>
          <w:szCs w:val="30"/>
          <w:lang w:val="en-US" w:eastAsia="zh-CN"/>
        </w:rPr>
        <w:t>自然资源</w:t>
      </w:r>
      <w:r>
        <w:rPr>
          <w:rFonts w:hint="default" w:ascii="仿宋" w:hAnsi="仿宋" w:eastAsia="仿宋" w:cs="仿宋"/>
          <w:b w:val="0"/>
          <w:color w:val="333333"/>
          <w:sz w:val="30"/>
          <w:szCs w:val="30"/>
          <w:lang w:val="en-US" w:eastAsia="zh-CN"/>
        </w:rPr>
        <w:t>领域透明度。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3D3D3D"/>
          <w:spacing w:val="0"/>
          <w:sz w:val="30"/>
          <w:szCs w:val="30"/>
          <w:shd w:val="clear" w:fill="FFFFFF"/>
        </w:rPr>
      </w:pPr>
      <w:r>
        <w:rPr>
          <w:rFonts w:hint="eastAsia" w:ascii="仿宋" w:hAnsi="仿宋" w:eastAsia="仿宋" w:cs="仿宋"/>
          <w:i w:val="0"/>
          <w:caps w:val="0"/>
          <w:color w:val="3D3D3D"/>
          <w:spacing w:val="0"/>
          <w:sz w:val="30"/>
          <w:szCs w:val="30"/>
          <w:shd w:val="clear" w:fill="FFFFFF"/>
        </w:rPr>
        <w:t>一是加强条例学习。将新修订的《中华人民共和国政府信息公开条例》列入干部职工学习内容，认真学习了新修订的《中华人民共和国政府信息公开条例》等相关文件，深刻领会政府信息工作的重要意义。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3D3D3D"/>
          <w:spacing w:val="0"/>
          <w:sz w:val="30"/>
          <w:szCs w:val="30"/>
          <w:shd w:val="clear" w:fill="FFFFFF"/>
        </w:rPr>
      </w:pPr>
      <w:r>
        <w:rPr>
          <w:rFonts w:hint="eastAsia" w:ascii="仿宋" w:hAnsi="仿宋" w:eastAsia="仿宋" w:cs="仿宋"/>
          <w:i w:val="0"/>
          <w:caps w:val="0"/>
          <w:color w:val="3D3D3D"/>
          <w:spacing w:val="0"/>
          <w:sz w:val="30"/>
          <w:szCs w:val="30"/>
          <w:shd w:val="clear" w:fill="FFFFFF"/>
        </w:rPr>
        <w:t>二是健全组织领导为切实做好政务公开工作，我局调整了政务公开工作领导小组，明确政策法规科负责政府信息工作，并指定专人负责政府信息公开的编制和录入工作，形成主要领导负总责、分管领导具体抓、责任科室抓落实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shd w:val="clear" w:fill="FFFFFF"/>
        </w:rPr>
        <w:t>三是完善工作制度。我局始终把制度建设贯穿于政府信息工作全过程，按照上级要求先后印发了《政府信息主动公开基本目录》、《政府信息公开保密审查制度》等文件，使政府信息工作更加规范化。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rightChars="0"/>
        <w:jc w:val="left"/>
        <w:rPr>
          <w:rFonts w:hint="eastAsia" w:ascii="仿宋" w:hAnsi="仿宋" w:eastAsia="仿宋" w:cs="仿宋"/>
          <w:i w:val="0"/>
          <w:caps w:val="0"/>
          <w:color w:val="3D3D3D"/>
          <w:spacing w:val="0"/>
          <w:sz w:val="30"/>
          <w:szCs w:val="30"/>
          <w:shd w:val="clear" w:fill="FFFFFF"/>
        </w:rPr>
      </w:pPr>
      <w:r>
        <w:rPr>
          <w:rFonts w:hint="eastAsia" w:ascii="仿宋" w:hAnsi="仿宋" w:eastAsia="仿宋" w:cs="仿宋"/>
          <w:i w:val="0"/>
          <w:caps w:val="0"/>
          <w:color w:val="3D3D3D"/>
          <w:spacing w:val="0"/>
          <w:sz w:val="30"/>
          <w:szCs w:val="30"/>
          <w:shd w:val="clear" w:fill="FFFFFF"/>
          <w:lang w:val="en-US" w:eastAsia="zh-CN"/>
        </w:rPr>
        <w:t>二、</w:t>
      </w:r>
      <w:r>
        <w:rPr>
          <w:rFonts w:hint="eastAsia" w:ascii="仿宋" w:hAnsi="仿宋" w:eastAsia="仿宋" w:cs="仿宋"/>
          <w:i w:val="0"/>
          <w:caps w:val="0"/>
          <w:color w:val="3D3D3D"/>
          <w:spacing w:val="0"/>
          <w:sz w:val="30"/>
          <w:szCs w:val="30"/>
          <w:shd w:val="clear" w:fill="FFFFFF"/>
        </w:rPr>
        <w:t>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600" w:firstLineChars="200"/>
        <w:jc w:val="left"/>
        <w:rPr>
          <w:rFonts w:hint="eastAsia" w:ascii="仿宋" w:hAnsi="仿宋" w:eastAsia="仿宋" w:cs="仿宋"/>
          <w:b w:val="0"/>
          <w:color w:val="333333"/>
          <w:sz w:val="30"/>
          <w:szCs w:val="30"/>
        </w:rPr>
      </w:pPr>
      <w:bookmarkStart w:id="0" w:name="OLE_LINK1"/>
      <w:r>
        <w:rPr>
          <w:rFonts w:hint="eastAsia" w:ascii="仿宋" w:hAnsi="仿宋" w:eastAsia="仿宋" w:cs="仿宋"/>
          <w:b w:val="0"/>
          <w:color w:val="333333"/>
          <w:sz w:val="30"/>
          <w:szCs w:val="30"/>
        </w:rPr>
        <w:t>本年度我局共通过曲阜市人民政府网站主动公开各类政府信息</w:t>
      </w:r>
      <w:r>
        <w:rPr>
          <w:rFonts w:hint="eastAsia" w:ascii="仿宋" w:hAnsi="仿宋" w:eastAsia="仿宋" w:cs="仿宋"/>
          <w:b w:val="0"/>
          <w:color w:val="333333"/>
          <w:sz w:val="30"/>
          <w:szCs w:val="30"/>
          <w:lang w:val="en-US" w:eastAsia="zh-CN"/>
        </w:rPr>
        <w:t>802</w:t>
      </w:r>
      <w:r>
        <w:rPr>
          <w:rFonts w:hint="eastAsia" w:ascii="仿宋" w:hAnsi="仿宋" w:eastAsia="仿宋" w:cs="仿宋"/>
          <w:b w:val="0"/>
          <w:color w:val="333333"/>
          <w:sz w:val="30"/>
          <w:szCs w:val="30"/>
        </w:rPr>
        <w:t>条。其中，政策法规类信息</w:t>
      </w:r>
      <w:r>
        <w:rPr>
          <w:rFonts w:hint="eastAsia" w:ascii="仿宋" w:hAnsi="仿宋" w:eastAsia="仿宋" w:cs="仿宋"/>
          <w:b w:val="0"/>
          <w:color w:val="333333"/>
          <w:sz w:val="30"/>
          <w:szCs w:val="30"/>
          <w:lang w:val="en-US" w:eastAsia="zh-CN"/>
        </w:rPr>
        <w:t>16</w:t>
      </w:r>
      <w:r>
        <w:rPr>
          <w:rFonts w:hint="eastAsia" w:ascii="仿宋" w:hAnsi="仿宋" w:eastAsia="仿宋" w:cs="仿宋"/>
          <w:b w:val="0"/>
          <w:color w:val="333333"/>
          <w:sz w:val="30"/>
          <w:szCs w:val="30"/>
        </w:rPr>
        <w:t>条，占比</w:t>
      </w:r>
      <w:r>
        <w:rPr>
          <w:rFonts w:hint="eastAsia" w:ascii="仿宋" w:hAnsi="仿宋" w:eastAsia="仿宋" w:cs="仿宋"/>
          <w:b w:val="0"/>
          <w:color w:val="333333"/>
          <w:sz w:val="30"/>
          <w:szCs w:val="30"/>
          <w:lang w:val="en-US" w:eastAsia="zh-CN"/>
        </w:rPr>
        <w:t>1.9</w:t>
      </w:r>
      <w:r>
        <w:rPr>
          <w:rFonts w:hint="eastAsia" w:ascii="仿宋" w:hAnsi="仿宋" w:eastAsia="仿宋" w:cs="仿宋"/>
          <w:b w:val="0"/>
          <w:color w:val="333333"/>
          <w:sz w:val="30"/>
          <w:szCs w:val="30"/>
        </w:rPr>
        <w:t>%；行政权力运行公开信息</w:t>
      </w:r>
      <w:r>
        <w:rPr>
          <w:rFonts w:hint="eastAsia" w:ascii="仿宋" w:hAnsi="仿宋" w:eastAsia="仿宋" w:cs="仿宋"/>
          <w:b w:val="0"/>
          <w:color w:val="333333"/>
          <w:sz w:val="30"/>
          <w:szCs w:val="30"/>
          <w:lang w:val="en-US" w:eastAsia="zh-CN"/>
        </w:rPr>
        <w:t>7</w:t>
      </w:r>
      <w:r>
        <w:rPr>
          <w:rFonts w:hint="eastAsia" w:ascii="仿宋" w:hAnsi="仿宋" w:eastAsia="仿宋" w:cs="仿宋"/>
          <w:b w:val="0"/>
          <w:color w:val="333333"/>
          <w:sz w:val="30"/>
          <w:szCs w:val="30"/>
        </w:rPr>
        <w:t>条，占比</w:t>
      </w:r>
      <w:r>
        <w:rPr>
          <w:rFonts w:hint="eastAsia" w:ascii="仿宋" w:hAnsi="仿宋" w:eastAsia="仿宋" w:cs="仿宋"/>
          <w:b w:val="0"/>
          <w:color w:val="333333"/>
          <w:sz w:val="30"/>
          <w:szCs w:val="30"/>
          <w:lang w:val="en-US" w:eastAsia="zh-CN"/>
        </w:rPr>
        <w:t>0.8</w:t>
      </w:r>
      <w:r>
        <w:rPr>
          <w:rFonts w:hint="eastAsia" w:ascii="仿宋" w:hAnsi="仿宋" w:eastAsia="仿宋" w:cs="仿宋"/>
          <w:b w:val="0"/>
          <w:color w:val="333333"/>
          <w:sz w:val="30"/>
          <w:szCs w:val="30"/>
        </w:rPr>
        <w:t>%，重点领域信息公开</w:t>
      </w:r>
      <w:r>
        <w:rPr>
          <w:rFonts w:hint="eastAsia" w:ascii="仿宋" w:hAnsi="仿宋" w:eastAsia="仿宋" w:cs="仿宋"/>
          <w:b w:val="0"/>
          <w:color w:val="333333"/>
          <w:sz w:val="30"/>
          <w:szCs w:val="30"/>
          <w:lang w:val="en-US" w:eastAsia="zh-CN"/>
        </w:rPr>
        <w:t>767</w:t>
      </w:r>
      <w:r>
        <w:rPr>
          <w:rFonts w:hint="eastAsia" w:ascii="仿宋" w:hAnsi="仿宋" w:eastAsia="仿宋" w:cs="仿宋"/>
          <w:b w:val="0"/>
          <w:color w:val="333333"/>
          <w:sz w:val="30"/>
          <w:szCs w:val="30"/>
        </w:rPr>
        <w:t>条，占比</w:t>
      </w:r>
      <w:r>
        <w:rPr>
          <w:rFonts w:hint="eastAsia" w:ascii="仿宋" w:hAnsi="仿宋" w:eastAsia="仿宋" w:cs="仿宋"/>
          <w:b w:val="0"/>
          <w:color w:val="333333"/>
          <w:sz w:val="30"/>
          <w:szCs w:val="30"/>
          <w:lang w:val="en-US" w:eastAsia="zh-CN"/>
        </w:rPr>
        <w:t>95</w:t>
      </w:r>
      <w:r>
        <w:rPr>
          <w:rFonts w:hint="eastAsia" w:ascii="仿宋" w:hAnsi="仿宋" w:eastAsia="仿宋" w:cs="仿宋"/>
          <w:b w:val="0"/>
          <w:color w:val="333333"/>
          <w:sz w:val="30"/>
          <w:szCs w:val="30"/>
        </w:rPr>
        <w:t>%；其他类信息</w:t>
      </w:r>
      <w:r>
        <w:rPr>
          <w:rFonts w:hint="eastAsia" w:ascii="仿宋" w:hAnsi="仿宋" w:eastAsia="仿宋" w:cs="仿宋"/>
          <w:b w:val="0"/>
          <w:color w:val="333333"/>
          <w:sz w:val="30"/>
          <w:szCs w:val="30"/>
          <w:lang w:val="en-US" w:eastAsia="zh-CN"/>
        </w:rPr>
        <w:t>12</w:t>
      </w:r>
      <w:r>
        <w:rPr>
          <w:rFonts w:hint="eastAsia" w:ascii="仿宋" w:hAnsi="仿宋" w:eastAsia="仿宋" w:cs="仿宋"/>
          <w:b w:val="0"/>
          <w:color w:val="333333"/>
          <w:sz w:val="30"/>
          <w:szCs w:val="30"/>
        </w:rPr>
        <w:t>条</w:t>
      </w:r>
      <w:r>
        <w:rPr>
          <w:rFonts w:hint="eastAsia" w:ascii="仿宋" w:hAnsi="仿宋" w:eastAsia="仿宋" w:cs="仿宋"/>
          <w:b w:val="0"/>
          <w:color w:val="333333"/>
          <w:sz w:val="30"/>
          <w:szCs w:val="30"/>
          <w:lang w:eastAsia="zh-CN"/>
        </w:rPr>
        <w:t>，</w:t>
      </w:r>
      <w:r>
        <w:rPr>
          <w:rFonts w:hint="eastAsia" w:ascii="仿宋" w:hAnsi="仿宋" w:eastAsia="仿宋" w:cs="仿宋"/>
          <w:b w:val="0"/>
          <w:color w:val="333333"/>
          <w:sz w:val="30"/>
          <w:szCs w:val="30"/>
        </w:rPr>
        <w:t>占比</w:t>
      </w:r>
      <w:r>
        <w:rPr>
          <w:rFonts w:hint="eastAsia" w:ascii="仿宋" w:hAnsi="仿宋" w:eastAsia="仿宋" w:cs="仿宋"/>
          <w:b w:val="0"/>
          <w:color w:val="333333"/>
          <w:sz w:val="30"/>
          <w:szCs w:val="30"/>
          <w:lang w:val="en-US" w:eastAsia="zh-CN"/>
        </w:rPr>
        <w:t>1.4</w:t>
      </w:r>
      <w:r>
        <w:rPr>
          <w:rFonts w:hint="eastAsia" w:ascii="仿宋" w:hAnsi="仿宋" w:eastAsia="仿宋" w:cs="仿宋"/>
          <w:b w:val="0"/>
          <w:color w:val="333333"/>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600" w:firstLineChars="200"/>
        <w:jc w:val="left"/>
        <w:rPr>
          <w:rFonts w:hint="eastAsia" w:ascii="仿宋" w:hAnsi="仿宋" w:eastAsia="仿宋" w:cs="仿宋"/>
          <w:b w:val="0"/>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600" w:firstLineChars="200"/>
        <w:jc w:val="left"/>
        <w:rPr>
          <w:rFonts w:hint="eastAsia" w:ascii="仿宋" w:hAnsi="仿宋" w:eastAsia="仿宋" w:cs="仿宋"/>
          <w:b w:val="0"/>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600" w:firstLineChars="200"/>
        <w:jc w:val="left"/>
        <w:rPr>
          <w:rFonts w:hint="eastAsia" w:ascii="仿宋" w:hAnsi="仿宋" w:eastAsia="仿宋" w:cs="仿宋"/>
          <w:b w:val="0"/>
          <w:color w:val="333333"/>
          <w:sz w:val="30"/>
          <w:szCs w:val="30"/>
          <w:lang w:eastAsia="zh-CN"/>
        </w:rPr>
      </w:pPr>
      <w:r>
        <w:rPr>
          <w:rFonts w:hint="eastAsia" w:ascii="仿宋" w:hAnsi="仿宋" w:eastAsia="仿宋" w:cs="仿宋"/>
          <w:b w:val="0"/>
          <w:color w:val="333333"/>
          <w:sz w:val="30"/>
          <w:szCs w:val="30"/>
          <w:lang w:eastAsia="zh-CN"/>
        </w:rPr>
        <w:drawing>
          <wp:inline distT="0" distB="0" distL="114300" distR="114300">
            <wp:extent cx="5316855" cy="3987800"/>
            <wp:effectExtent l="0" t="0" r="17145" b="12700"/>
            <wp:docPr id="23" name="图片 2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未标题-1"/>
                    <pic:cNvPicPr>
                      <a:picLocks noChangeAspect="1"/>
                    </pic:cNvPicPr>
                  </pic:nvPicPr>
                  <pic:blipFill>
                    <a:blip r:embed="rId4"/>
                    <a:stretch>
                      <a:fillRect/>
                    </a:stretch>
                  </pic:blipFill>
                  <pic:spPr>
                    <a:xfrm>
                      <a:off x="0" y="0"/>
                      <a:ext cx="5316855" cy="3987800"/>
                    </a:xfrm>
                    <a:prstGeom prst="rect">
                      <a:avLst/>
                    </a:prstGeom>
                  </pic:spPr>
                </pic:pic>
              </a:graphicData>
            </a:graphic>
          </wp:inline>
        </w:drawing>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jc w:val="both"/>
        <w:rPr>
          <w:sz w:val="30"/>
          <w:szCs w:val="30"/>
        </w:rPr>
      </w:pPr>
      <w:r>
        <w:rPr>
          <w:rFonts w:hint="eastAsia" w:ascii="微软雅黑" w:hAnsi="微软雅黑" w:eastAsia="微软雅黑" w:cs="微软雅黑"/>
          <w:b w:val="0"/>
          <w:color w:val="333333"/>
          <w:sz w:val="30"/>
          <w:szCs w:val="30"/>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480" w:leftChars="0" w:right="0" w:rightChars="0"/>
        <w:jc w:val="left"/>
        <w:rPr>
          <w:rFonts w:hint="eastAsia" w:ascii="仿宋" w:hAnsi="仿宋" w:eastAsia="仿宋" w:cs="仿宋"/>
          <w:i w:val="0"/>
          <w:caps w:val="0"/>
          <w:color w:val="3D3D3D"/>
          <w:spacing w:val="0"/>
          <w:sz w:val="30"/>
          <w:szCs w:val="30"/>
          <w:shd w:val="clear" w:fill="FFFFFF"/>
          <w:lang w:eastAsia="zh-CN"/>
        </w:rPr>
      </w:pPr>
      <w:r>
        <w:rPr>
          <w:sz w:val="30"/>
          <w:szCs w:val="30"/>
        </w:rPr>
        <mc:AlternateContent>
          <mc:Choice Requires="wps">
            <w:drawing>
              <wp:anchor distT="0" distB="0" distL="114300" distR="114300" simplePos="0" relativeHeight="251670528" behindDoc="0" locked="0" layoutInCell="1" allowOverlap="1">
                <wp:simplePos x="0" y="0"/>
                <wp:positionH relativeFrom="column">
                  <wp:posOffset>327660</wp:posOffset>
                </wp:positionH>
                <wp:positionV relativeFrom="paragraph">
                  <wp:posOffset>1355725</wp:posOffset>
                </wp:positionV>
                <wp:extent cx="266700" cy="285750"/>
                <wp:effectExtent l="0" t="0" r="0" b="0"/>
                <wp:wrapNone/>
                <wp:docPr id="18" name="文本框 18"/>
                <wp:cNvGraphicFramePr/>
                <a:graphic xmlns:a="http://schemas.openxmlformats.org/drawingml/2006/main">
                  <a:graphicData uri="http://schemas.microsoft.com/office/word/2010/wordprocessingShape">
                    <wps:wsp>
                      <wps:cNvSpPr txBox="1"/>
                      <wps:spPr>
                        <a:xfrm>
                          <a:off x="1470660" y="4251325"/>
                          <a:ext cx="2667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106.75pt;height:22.5pt;width:21pt;z-index:251670528;mso-width-relative:page;mso-height-relative:page;" fillcolor="#FFFFFF [3201]" filled="t" stroked="f" coordsize="21600,21600" o:gfxdata="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QgOy1AAAAAkBAAAPAAAAAAAAAAEAIAAAACIAAABkcnMv&#10;ZG93bnJldi54bWxQSwECFAAUAAAACACHTuJA98A/H0ACAABOBAAADgAAAAAAAAABACAAAAAjAQAA&#10;ZHJzL2Uyb0RvYy54bWxQSwUGAAAAAAYABgBZAQAA1QUAAAAA&#10;">
                <v:fill on="t" focussize="0,0"/>
                <v:stroke on="f" weight="0.5pt"/>
                <v:imagedata o:title=""/>
                <o:lock v:ext="edit" aspectratio="f"/>
                <v:textbox>
                  <w:txbxContent>
                    <w:p/>
                  </w:txbxContent>
                </v:textbox>
              </v:shape>
            </w:pict>
          </mc:Fallback>
        </mc:AlternateContent>
      </w:r>
      <w:r>
        <w:rPr>
          <w:sz w:val="30"/>
          <w:szCs w:val="30"/>
        </w:rPr>
        <mc:AlternateContent>
          <mc:Choice Requires="wps">
            <w:drawing>
              <wp:anchor distT="0" distB="0" distL="114300" distR="114300" simplePos="0" relativeHeight="251667456" behindDoc="0" locked="0" layoutInCell="1" allowOverlap="1">
                <wp:simplePos x="0" y="0"/>
                <wp:positionH relativeFrom="column">
                  <wp:posOffset>-520065</wp:posOffset>
                </wp:positionH>
                <wp:positionV relativeFrom="paragraph">
                  <wp:posOffset>1280795</wp:posOffset>
                </wp:positionV>
                <wp:extent cx="266700" cy="257175"/>
                <wp:effectExtent l="0" t="0" r="0" b="9525"/>
                <wp:wrapNone/>
                <wp:docPr id="15" name="文本框 15"/>
                <wp:cNvGraphicFramePr/>
                <a:graphic xmlns:a="http://schemas.openxmlformats.org/drawingml/2006/main">
                  <a:graphicData uri="http://schemas.microsoft.com/office/word/2010/wordprocessingShape">
                    <wps:wsp>
                      <wps:cNvSpPr txBox="1"/>
                      <wps:spPr>
                        <a:xfrm>
                          <a:off x="622935" y="4176395"/>
                          <a:ext cx="2667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95pt;margin-top:100.85pt;height:20.25pt;width:21pt;z-index:251667456;mso-width-relative:page;mso-height-relative:page;" fillcolor="#FFFFFF [3201]" filled="t" stroked="f" coordsize="21600,21600" o:gfxdata="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g+DWfVAAAACwEAAA8AAAAAAAAAAQAgAAAAIgAAAGRy&#10;cy9kb3ducmV2LnhtbFBLAQIUABQAAAAIAIdO4kBtjmYMQQIAAE0EAAAOAAAAAAAAAAEAIAAAACQB&#10;AABkcnMvZTJvRG9jLnhtbFBLBQYAAAAABgAGAFkBAADXBQAAAAA=&#10;">
                <v:fill on="t" focussize="0,0"/>
                <v:stroke on="f" weight="0.5pt"/>
                <v:imagedata o:title=""/>
                <o:lock v:ext="edit" aspectratio="f"/>
                <v:textbox>
                  <w:txbxContent>
                    <w:p/>
                  </w:txbxContent>
                </v:textbox>
              </v:shape>
            </w:pict>
          </mc:Fallback>
        </mc:AlternateContent>
      </w:r>
      <w:r>
        <w:rPr>
          <w:sz w:val="30"/>
          <w:szCs w:val="30"/>
        </w:rPr>
        <mc:AlternateContent>
          <mc:Choice Requires="wps">
            <w:drawing>
              <wp:anchor distT="0" distB="0" distL="114300" distR="114300" simplePos="0" relativeHeight="251663360" behindDoc="0" locked="0" layoutInCell="1" allowOverlap="1">
                <wp:simplePos x="0" y="0"/>
                <wp:positionH relativeFrom="column">
                  <wp:posOffset>5433060</wp:posOffset>
                </wp:positionH>
                <wp:positionV relativeFrom="paragraph">
                  <wp:posOffset>1278255</wp:posOffset>
                </wp:positionV>
                <wp:extent cx="323850" cy="219075"/>
                <wp:effectExtent l="0" t="0" r="0" b="9525"/>
                <wp:wrapNone/>
                <wp:docPr id="10" name="文本框 10"/>
                <wp:cNvGraphicFramePr/>
                <a:graphic xmlns:a="http://schemas.openxmlformats.org/drawingml/2006/main">
                  <a:graphicData uri="http://schemas.microsoft.com/office/word/2010/wordprocessingShape">
                    <wps:wsp>
                      <wps:cNvSpPr txBox="1"/>
                      <wps:spPr>
                        <a:xfrm>
                          <a:off x="6576060" y="4173855"/>
                          <a:ext cx="323850" cy="219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8pt;margin-top:100.65pt;height:17.25pt;width:25.5pt;z-index:251663360;mso-width-relative:page;mso-height-relative:page;" fillcolor="#FFFFFF [3201]" filled="t" stroked="f" coordsize="21600,21600" o:gfxdata="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vKHhDWAAAACwEAAA8AAAAAAAAAAQAgAAAAIgAAAGRycy9k&#10;b3ducmV2LnhtbFBLAQIUABQAAAAIAIdO4kAJwvXqPQIAAE4EAAAOAAAAAAAAAAEAIAAAACUBAABk&#10;cnMvZTJvRG9jLnhtbFBLBQYAAAAABgAGAFkBAADUBQAAAAA=&#10;">
                <v:fill on="t" focussize="0,0"/>
                <v:stroke on="f" weight="0.5pt"/>
                <v:imagedata o:title=""/>
                <o:lock v:ext="edit" aspectratio="f"/>
                <v:textbox>
                  <w:txbxContent>
                    <w:p/>
                  </w:txbxContent>
                </v:textbox>
              </v:shape>
            </w:pict>
          </mc:Fallback>
        </mc:AlternateContent>
      </w:r>
      <w:r>
        <w:rPr>
          <w:sz w:val="30"/>
          <w:szCs w:val="30"/>
        </w:rPr>
        <mc:AlternateContent>
          <mc:Choice Requires="wps">
            <w:drawing>
              <wp:anchor distT="0" distB="0" distL="114300" distR="114300" simplePos="0" relativeHeight="251659264" behindDoc="0" locked="0" layoutInCell="1" allowOverlap="1">
                <wp:simplePos x="0" y="0"/>
                <wp:positionH relativeFrom="column">
                  <wp:posOffset>4423410</wp:posOffset>
                </wp:positionH>
                <wp:positionV relativeFrom="paragraph">
                  <wp:posOffset>992505</wp:posOffset>
                </wp:positionV>
                <wp:extent cx="1400175" cy="2714625"/>
                <wp:effectExtent l="4445" t="4445" r="5080" b="5080"/>
                <wp:wrapNone/>
                <wp:docPr id="5" name="文本框 5"/>
                <wp:cNvGraphicFramePr/>
                <a:graphic xmlns:a="http://schemas.openxmlformats.org/drawingml/2006/main">
                  <a:graphicData uri="http://schemas.microsoft.com/office/word/2010/wordprocessingShape">
                    <wps:wsp>
                      <wps:cNvSpPr txBox="1"/>
                      <wps:spPr>
                        <a:xfrm>
                          <a:off x="5852160" y="4002405"/>
                          <a:ext cx="1400175" cy="271462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3pt;margin-top:78.15pt;height:213.75pt;width:110.25pt;z-index:251659264;mso-width-relative:page;mso-height-relative:page;" filled="f" stroked="t" coordsize="21600,21600" o:gfxdata="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HezP9gAAAALAQAADwAAAAAAAAABACAA&#10;AAAiAAAAZHJzL2Rvd25yZXYueG1sUEsBAhQAFAAAAAgAh07iQEx4A4NGAgAAUAQAAA4AAAAAAAAA&#10;AQAgAAAAJwEAAGRycy9lMm9Eb2MueG1sUEsFBgAAAAAGAAYAWQEAAN8FAAAAAA==&#10;">
                <v:fill on="f" focussize="0,0"/>
                <v:stroke weight="0.5pt" color="#FFFFFF [3212]" joinstyle="round"/>
                <v:imagedata o:title=""/>
                <o:lock v:ext="edit" aspectratio="f"/>
                <v:textbox style="layout-flow:vertical-ideographic;">
                  <w:txbxContent>
                    <w:p/>
                  </w:txbxContent>
                </v:textbox>
              </v:shape>
            </w:pict>
          </mc:Fallback>
        </mc:AlternateContent>
      </w:r>
    </w:p>
    <w:p>
      <w:pPr>
        <w:pStyle w:val="2"/>
        <w:keepNext w:val="0"/>
        <w:keepLines w:val="0"/>
        <w:widowControl/>
        <w:suppressLineNumbers w:val="0"/>
        <w:jc w:val="left"/>
        <w:rPr>
          <w:rFonts w:hint="eastAsia" w:ascii="仿宋" w:hAnsi="仿宋" w:eastAsia="仿宋" w:cs="仿宋"/>
          <w:sz w:val="30"/>
          <w:szCs w:val="30"/>
        </w:rPr>
      </w:pPr>
    </w:p>
    <w:p>
      <w:pPr>
        <w:pStyle w:val="2"/>
        <w:keepNext w:val="0"/>
        <w:keepLines w:val="0"/>
        <w:widowControl/>
        <w:suppressLineNumbers w:val="0"/>
        <w:jc w:val="left"/>
        <w:rPr>
          <w:rFonts w:hint="eastAsia" w:ascii="仿宋" w:hAnsi="仿宋" w:eastAsia="仿宋" w:cs="仿宋"/>
          <w:sz w:val="30"/>
          <w:szCs w:val="30"/>
        </w:rPr>
      </w:pPr>
    </w:p>
    <w:tbl>
      <w:tblPr>
        <w:tblStyle w:val="3"/>
        <w:tblW w:w="8715" w:type="dxa"/>
        <w:tblInd w:w="0" w:type="dxa"/>
        <w:tblLayout w:type="autofit"/>
        <w:tblCellMar>
          <w:top w:w="15" w:type="dxa"/>
          <w:left w:w="15" w:type="dxa"/>
          <w:bottom w:w="15" w:type="dxa"/>
          <w:right w:w="15" w:type="dxa"/>
        </w:tblCellMar>
      </w:tblPr>
      <w:tblGrid>
        <w:gridCol w:w="3075"/>
        <w:gridCol w:w="15"/>
        <w:gridCol w:w="2100"/>
        <w:gridCol w:w="1500"/>
        <w:gridCol w:w="2025"/>
      </w:tblGrid>
      <w:tr>
        <w:tblPrEx>
          <w:tblCellMar>
            <w:top w:w="15" w:type="dxa"/>
            <w:left w:w="15" w:type="dxa"/>
            <w:bottom w:w="15" w:type="dxa"/>
            <w:right w:w="15"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第二十条第（一）项</w:t>
            </w:r>
          </w:p>
        </w:tc>
      </w:tr>
      <w:tr>
        <w:tblPrEx>
          <w:tblCellMar>
            <w:top w:w="15" w:type="dxa"/>
            <w:left w:w="15" w:type="dxa"/>
            <w:bottom w:w="15" w:type="dxa"/>
            <w:right w:w="15" w:type="dxa"/>
          </w:tblCellMar>
        </w:tblPrEx>
        <w:trPr>
          <w:trHeight w:val="870"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本年新制作数量</w:t>
            </w:r>
          </w:p>
        </w:tc>
        <w:tc>
          <w:tcPr>
            <w:tcW w:w="15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本年新</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公开数量</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对外公开</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总数量</w:t>
            </w:r>
          </w:p>
        </w:tc>
      </w:tr>
      <w:tr>
        <w:tblPrEx>
          <w:tblCellMar>
            <w:top w:w="15" w:type="dxa"/>
            <w:left w:w="15" w:type="dxa"/>
            <w:bottom w:w="15" w:type="dxa"/>
            <w:right w:w="15"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规章</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r>
      <w:tr>
        <w:tblPrEx>
          <w:tblCellMar>
            <w:top w:w="15" w:type="dxa"/>
            <w:left w:w="15" w:type="dxa"/>
            <w:bottom w:w="15" w:type="dxa"/>
            <w:right w:w="15"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规范性文件</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r>
      <w:tr>
        <w:tblPrEx>
          <w:tblCellMar>
            <w:top w:w="15" w:type="dxa"/>
            <w:left w:w="15" w:type="dxa"/>
            <w:bottom w:w="15" w:type="dxa"/>
            <w:right w:w="15"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第二十条第（五）项</w:t>
            </w:r>
          </w:p>
        </w:tc>
      </w:tr>
      <w:tr>
        <w:tblPrEx>
          <w:tblCellMar>
            <w:top w:w="15" w:type="dxa"/>
            <w:left w:w="15" w:type="dxa"/>
            <w:bottom w:w="15" w:type="dxa"/>
            <w:right w:w="15" w:type="dxa"/>
          </w:tblCellMar>
        </w:tblPrEx>
        <w:trPr>
          <w:trHeight w:val="510"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上一年项目数量</w:t>
            </w:r>
          </w:p>
        </w:tc>
        <w:tc>
          <w:tcPr>
            <w:tcW w:w="15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本年增/减</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处理决定数量</w:t>
            </w:r>
          </w:p>
        </w:tc>
      </w:tr>
      <w:tr>
        <w:tblPrEx>
          <w:tblCellMar>
            <w:top w:w="15" w:type="dxa"/>
            <w:left w:w="15" w:type="dxa"/>
            <w:bottom w:w="15" w:type="dxa"/>
            <w:right w:w="15"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行政许可</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r>
      <w:tr>
        <w:tblPrEx>
          <w:tblCellMar>
            <w:top w:w="15" w:type="dxa"/>
            <w:left w:w="15" w:type="dxa"/>
            <w:bottom w:w="15" w:type="dxa"/>
            <w:right w:w="15" w:type="dxa"/>
          </w:tblCellMar>
        </w:tblPrEx>
        <w:trPr>
          <w:trHeight w:val="55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其他对外管理服务事项</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w:t>
            </w:r>
          </w:p>
        </w:tc>
      </w:tr>
      <w:tr>
        <w:tblPrEx>
          <w:tblCellMar>
            <w:top w:w="15" w:type="dxa"/>
            <w:left w:w="15" w:type="dxa"/>
            <w:bottom w:w="15" w:type="dxa"/>
            <w:right w:w="15" w:type="dxa"/>
          </w:tblCellMar>
        </w:tblPrEx>
        <w:trPr>
          <w:trHeight w:val="495" w:hRule="atLeast"/>
        </w:trPr>
        <w:tc>
          <w:tcPr>
            <w:tcW w:w="8715" w:type="dxa"/>
            <w:gridSpan w:val="5"/>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第二十条第（六）项</w:t>
            </w:r>
          </w:p>
        </w:tc>
      </w:tr>
      <w:tr>
        <w:tblPrEx>
          <w:tblCellMar>
            <w:top w:w="15" w:type="dxa"/>
            <w:left w:w="15" w:type="dxa"/>
            <w:bottom w:w="15" w:type="dxa"/>
            <w:right w:w="15" w:type="dxa"/>
          </w:tblCellMar>
        </w:tblPrEx>
        <w:trPr>
          <w:trHeight w:val="540"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上一年项目数量</w:t>
            </w:r>
          </w:p>
        </w:tc>
        <w:tc>
          <w:tcPr>
            <w:tcW w:w="15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本年增/减</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处理决定数量</w:t>
            </w:r>
          </w:p>
        </w:tc>
      </w:tr>
      <w:tr>
        <w:tblPrEx>
          <w:tblCellMar>
            <w:top w:w="15" w:type="dxa"/>
            <w:left w:w="15" w:type="dxa"/>
            <w:bottom w:w="15" w:type="dxa"/>
            <w:right w:w="15"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行政处罚</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　0</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　</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　</w:t>
            </w:r>
          </w:p>
        </w:tc>
      </w:tr>
      <w:tr>
        <w:tblPrEx>
          <w:tblCellMar>
            <w:top w:w="15" w:type="dxa"/>
            <w:left w:w="15" w:type="dxa"/>
            <w:bottom w:w="15" w:type="dxa"/>
            <w:right w:w="15"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行政强制</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　</w:t>
            </w:r>
          </w:p>
        </w:tc>
        <w:tc>
          <w:tcPr>
            <w:tcW w:w="15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　</w:t>
            </w:r>
          </w:p>
        </w:tc>
        <w:tc>
          <w:tcPr>
            <w:tcW w:w="202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0　</w:t>
            </w:r>
          </w:p>
        </w:tc>
      </w:tr>
      <w:tr>
        <w:tblPrEx>
          <w:tblCellMar>
            <w:top w:w="15" w:type="dxa"/>
            <w:left w:w="15" w:type="dxa"/>
            <w:bottom w:w="15" w:type="dxa"/>
            <w:right w:w="15"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第二十条第（八）项</w:t>
            </w:r>
          </w:p>
        </w:tc>
      </w:tr>
      <w:tr>
        <w:tblPrEx>
          <w:tblCellMar>
            <w:top w:w="15" w:type="dxa"/>
            <w:left w:w="15" w:type="dxa"/>
            <w:bottom w:w="15" w:type="dxa"/>
            <w:right w:w="15"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信息内容</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上一年项目数量</w:t>
            </w:r>
          </w:p>
        </w:tc>
        <w:tc>
          <w:tcPr>
            <w:tcW w:w="3525" w:type="dxa"/>
            <w:gridSpan w:val="2"/>
            <w:tcBorders>
              <w:top w:val="single" w:color="auto" w:sz="6" w:space="0"/>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本年增/减</w:t>
            </w:r>
          </w:p>
        </w:tc>
      </w:tr>
      <w:tr>
        <w:tblPrEx>
          <w:tblCellMar>
            <w:top w:w="15" w:type="dxa"/>
            <w:left w:w="15" w:type="dxa"/>
            <w:bottom w:w="15" w:type="dxa"/>
            <w:right w:w="15"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行政事业性收费</w:t>
            </w:r>
          </w:p>
        </w:tc>
        <w:tc>
          <w:tcPr>
            <w:tcW w:w="2115"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7142　</w:t>
            </w:r>
          </w:p>
        </w:tc>
        <w:tc>
          <w:tcPr>
            <w:tcW w:w="352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增2953 </w:t>
            </w:r>
          </w:p>
        </w:tc>
      </w:tr>
      <w:tr>
        <w:tblPrEx>
          <w:tblCellMar>
            <w:top w:w="15" w:type="dxa"/>
            <w:left w:w="15" w:type="dxa"/>
            <w:bottom w:w="15" w:type="dxa"/>
            <w:right w:w="15"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第二十条第（九）项</w:t>
            </w:r>
          </w:p>
        </w:tc>
      </w:tr>
      <w:tr>
        <w:tblPrEx>
          <w:tblCellMar>
            <w:top w:w="15" w:type="dxa"/>
            <w:left w:w="15" w:type="dxa"/>
            <w:bottom w:w="15" w:type="dxa"/>
            <w:right w:w="15" w:type="dxa"/>
          </w:tblCellMar>
        </w:tblPrEx>
        <w:trPr>
          <w:trHeight w:val="420" w:hRule="atLeast"/>
        </w:trPr>
        <w:tc>
          <w:tcPr>
            <w:tcW w:w="3090" w:type="dxa"/>
            <w:gridSpan w:val="2"/>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信息内容</w:t>
            </w:r>
          </w:p>
        </w:tc>
        <w:tc>
          <w:tcPr>
            <w:tcW w:w="2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采购项目数量</w:t>
            </w:r>
          </w:p>
        </w:tc>
        <w:tc>
          <w:tcPr>
            <w:tcW w:w="3525" w:type="dxa"/>
            <w:gridSpan w:val="2"/>
            <w:tcBorders>
              <w:top w:val="single" w:color="auto" w:sz="6" w:space="0"/>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采购总金额</w:t>
            </w:r>
          </w:p>
        </w:tc>
      </w:tr>
      <w:tr>
        <w:tblPrEx>
          <w:tblCellMar>
            <w:top w:w="15" w:type="dxa"/>
            <w:left w:w="15" w:type="dxa"/>
            <w:bottom w:w="15" w:type="dxa"/>
            <w:right w:w="15" w:type="dxa"/>
          </w:tblCellMar>
        </w:tblPrEx>
        <w:trPr>
          <w:trHeight w:val="465" w:hRule="atLeast"/>
        </w:trPr>
        <w:tc>
          <w:tcPr>
            <w:tcW w:w="3090" w:type="dxa"/>
            <w:gridSpan w:val="2"/>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政府集中采购</w:t>
            </w:r>
          </w:p>
        </w:tc>
        <w:tc>
          <w:tcPr>
            <w:tcW w:w="2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　7</w:t>
            </w:r>
          </w:p>
        </w:tc>
        <w:tc>
          <w:tcPr>
            <w:tcW w:w="352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343.5万元</w:t>
            </w:r>
          </w:p>
        </w:tc>
      </w:tr>
    </w:tbl>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三、收到和处理政府信息公开申请情况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94"/>
        <w:gridCol w:w="2637"/>
        <w:gridCol w:w="821"/>
        <w:gridCol w:w="564"/>
        <w:gridCol w:w="564"/>
        <w:gridCol w:w="564"/>
        <w:gridCol w:w="564"/>
        <w:gridCol w:w="538"/>
        <w:gridCol w:w="6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4785"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（本列数据的勾稽关系为：第一项加第二项之和，</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等于第三项加第四项之和）</w:t>
            </w:r>
          </w:p>
        </w:tc>
        <w:tc>
          <w:tcPr>
            <w:tcW w:w="4290" w:type="dxa"/>
            <w:gridSpan w:val="7"/>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478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85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自然人</w:t>
            </w:r>
          </w:p>
        </w:tc>
        <w:tc>
          <w:tcPr>
            <w:tcW w:w="2805"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法人或其他组织</w:t>
            </w:r>
          </w:p>
        </w:tc>
        <w:tc>
          <w:tcPr>
            <w:tcW w:w="63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478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商业企业</w:t>
            </w: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科研机构</w:t>
            </w:r>
          </w:p>
        </w:tc>
        <w:tc>
          <w:tcPr>
            <w:tcW w:w="57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社会公益组织</w:t>
            </w:r>
          </w:p>
        </w:tc>
        <w:tc>
          <w:tcPr>
            <w:tcW w:w="57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法律服务机构</w:t>
            </w:r>
          </w:p>
        </w:tc>
        <w:tc>
          <w:tcPr>
            <w:tcW w:w="5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其他</w:t>
            </w:r>
          </w:p>
        </w:tc>
        <w:tc>
          <w:tcPr>
            <w:tcW w:w="63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78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一、本年新收政府信息公开申请数量</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w:t>
            </w: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78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二、上年结转政府信息公开申请数量</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2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三、本年度办理结果</w:t>
            </w:r>
          </w:p>
        </w:tc>
        <w:tc>
          <w:tcPr>
            <w:tcW w:w="42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（一）予以公开</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w:t>
            </w: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42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（二）部分公开（区分处理的，只计这一情形，不计其他情形）</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（三）不予公开</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1.属于国家秘密</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2.其他法律行政法规禁止公开</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3.危及“三安全一稳定”</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4.保护第三方合法权益</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5.属于三类内部事务信息</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6.属于四类过程性信息</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7.属于行政执法案卷</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8.属于行政查询事项</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（四）无法提供</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1.本机关不掌握相关政府信息</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2.没有现成信息需要另行制作</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3.补正后申请内容仍不明确</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（五）不予处理</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1.信访举报投诉类申请</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2.重复申请</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3.要求提供公开出版物</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4.无正当理由大量反复申请</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14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5.要求行政机关确认或重新</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出具已获取信息</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42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（六）其他处理</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52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42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（七）总计</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78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四、结转下年度继续办理</w:t>
            </w:r>
          </w:p>
        </w:tc>
        <w:tc>
          <w:tcPr>
            <w:tcW w:w="8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7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5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r>
    </w:tbl>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四、政府信息公开行政复议、行政诉讼情况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行政复议</w:t>
            </w:r>
          </w:p>
        </w:tc>
        <w:tc>
          <w:tcPr>
            <w:tcW w:w="6000"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维持</w:t>
            </w:r>
          </w:p>
        </w:tc>
        <w:tc>
          <w:tcPr>
            <w:tcW w:w="60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其他结果</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尚未</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审结</w:t>
            </w:r>
          </w:p>
        </w:tc>
        <w:tc>
          <w:tcPr>
            <w:tcW w:w="66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总</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计</w:t>
            </w:r>
          </w:p>
        </w:tc>
        <w:tc>
          <w:tcPr>
            <w:tcW w:w="297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未经复议直接起诉</w:t>
            </w:r>
          </w:p>
        </w:tc>
        <w:tc>
          <w:tcPr>
            <w:tcW w:w="303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60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66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仿宋" w:hAnsi="仿宋" w:eastAsia="仿宋" w:cs="仿宋"/>
                <w:sz w:val="30"/>
                <w:szCs w:val="30"/>
              </w:rPr>
            </w:pP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结果维持</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其他</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尚未</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审结</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总计</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结果维持</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其他</w:t>
            </w:r>
          </w:p>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尚未审结</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1 </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1 </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 3</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 3</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 2</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hint="eastAsia" w:ascii="仿宋" w:hAnsi="仿宋" w:eastAsia="仿宋" w:cs="仿宋"/>
                <w:sz w:val="30"/>
                <w:szCs w:val="30"/>
              </w:rPr>
            </w:pP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i w:val="0"/>
          <w:caps w:val="0"/>
          <w:color w:val="3D3D3D"/>
          <w:spacing w:val="0"/>
          <w:sz w:val="30"/>
          <w:szCs w:val="30"/>
        </w:rPr>
      </w:pPr>
      <w:r>
        <w:rPr>
          <w:rStyle w:val="5"/>
          <w:rFonts w:hint="eastAsia" w:ascii="仿宋" w:hAnsi="仿宋" w:eastAsia="仿宋" w:cs="仿宋"/>
          <w:b w:val="0"/>
          <w:bCs/>
          <w:i w:val="0"/>
          <w:caps w:val="0"/>
          <w:color w:val="3D3D3D"/>
          <w:spacing w:val="0"/>
          <w:sz w:val="30"/>
          <w:szCs w:val="3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今年以来，我局通过推行政务公开工作，取得了一定的成效，但在完善公开目录、信息公开及时性等方面，距上级要求还有差距，下一步我们将：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一是进一步提高认识，切实加强对《政府信息公开条例》的学习宣传。继续将政务公开作为本局的工作重要内容，认真抓好抓落实，进一步提高干部职工的思想认识，不断增强做好政务公开工作的责任感和使命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二是 充实公开内容。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按照“以公开为原则，不公开为例外”的总体要求，进一步做好公开和免予公开两类信息的界定。按照《政府信息公开条例》等法规、规章、制度的规定，及时公开政务信息，公开内容做到真实、具体、全面。并在工作质量、态度、时效等方面进一步作出承诺，不断增强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三是拓展公开形式。进一步发挥政府公报、新闻媒体的作用，加大网上公开的范围，及时更新网站内容，切实为公众提供快捷方便的服务。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仿宋" w:hAnsi="仿宋" w:eastAsia="仿宋" w:cs="仿宋"/>
          <w:i w:val="0"/>
          <w:caps w:val="0"/>
          <w:color w:val="3D3D3D"/>
          <w:spacing w:val="0"/>
          <w:sz w:val="30"/>
          <w:szCs w:val="30"/>
        </w:rPr>
      </w:pPr>
      <w:r>
        <w:rPr>
          <w:rStyle w:val="5"/>
          <w:rFonts w:hint="eastAsia" w:ascii="仿宋" w:hAnsi="仿宋" w:eastAsia="仿宋" w:cs="仿宋"/>
          <w:b/>
          <w:i w:val="0"/>
          <w:caps w:val="0"/>
          <w:color w:val="3D3D3D"/>
          <w:spacing w:val="0"/>
          <w:sz w:val="30"/>
          <w:szCs w:val="3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仿宋" w:hAnsi="仿宋" w:eastAsia="仿宋" w:cs="仿宋"/>
          <w:i w:val="0"/>
          <w:caps w:val="0"/>
          <w:color w:val="3D3D3D"/>
          <w:spacing w:val="0"/>
          <w:sz w:val="30"/>
          <w:szCs w:val="30"/>
        </w:rPr>
      </w:pPr>
      <w:r>
        <w:rPr>
          <w:rFonts w:hint="eastAsia" w:ascii="仿宋" w:hAnsi="仿宋" w:eastAsia="仿宋" w:cs="仿宋"/>
          <w:i w:val="0"/>
          <w:caps w:val="0"/>
          <w:color w:val="3D3D3D"/>
          <w:spacing w:val="0"/>
          <w:sz w:val="30"/>
          <w:szCs w:val="30"/>
        </w:rPr>
        <w:t xml:space="preserve">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278FD"/>
    <w:multiLevelType w:val="singleLevel"/>
    <w:tmpl w:val="9D427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71B6C"/>
    <w:rsid w:val="0DC8183B"/>
    <w:rsid w:val="2B0B34C6"/>
    <w:rsid w:val="2E554F04"/>
    <w:rsid w:val="303A06F9"/>
    <w:rsid w:val="32071B6C"/>
    <w:rsid w:val="35287B2D"/>
    <w:rsid w:val="5189798A"/>
    <w:rsid w:val="53770462"/>
    <w:rsid w:val="56FB7F09"/>
    <w:rsid w:val="742773EB"/>
    <w:rsid w:val="7A1E434C"/>
    <w:rsid w:val="7ACB7274"/>
    <w:rsid w:val="7F3A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2020-07-04T00:51:00Z</dcterms:created>
  <dc:creator>张凯</dc:creator>
  <cp:lastModifiedBy>张凯</cp:lastModifiedBy>
  <dcterms:modified xsi:type="dcterms:W3CDTF">2020-07-17T09:28:12Z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