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80" w:lineRule="exact"/>
        <w:ind w:left="0" w:right="0" w:firstLine="0"/>
        <w:jc w:val="center"/>
        <w:textAlignment w:val="auto"/>
        <w:outlineLvl w:val="9"/>
        <w:rPr>
          <w:rFonts w:hint="eastAsia" w:ascii="Times New Roman" w:hAnsi="Times New Roman" w:eastAsia="方正小标宋简体" w:cs="方正小标宋简体"/>
          <w:b w:val="0"/>
          <w:bCs/>
          <w:i w:val="0"/>
          <w:caps w:val="0"/>
          <w:color w:val="333333"/>
          <w:spacing w:val="0"/>
          <w:sz w:val="44"/>
          <w:szCs w:val="44"/>
          <w:shd w:val="clear" w:fill="FFFFFF"/>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80" w:lineRule="exact"/>
        <w:ind w:left="0" w:right="0" w:firstLine="0"/>
        <w:jc w:val="center"/>
        <w:textAlignment w:val="auto"/>
        <w:outlineLvl w:val="9"/>
        <w:rPr>
          <w:rFonts w:hint="eastAsia" w:ascii="Times New Roman" w:hAnsi="Times New Roman" w:eastAsia="方正小标宋简体" w:cs="方正小标宋简体"/>
          <w:b w:val="0"/>
          <w:bCs/>
          <w:i w:val="0"/>
          <w:caps w:val="0"/>
          <w:color w:val="333333"/>
          <w:spacing w:val="0"/>
          <w:sz w:val="44"/>
          <w:szCs w:val="44"/>
          <w:shd w:val="clear" w:fill="FFFFFF"/>
          <w:lang w:val="en-US" w:eastAsia="zh-CN"/>
        </w:rPr>
      </w:pPr>
      <w:r>
        <w:rPr>
          <w:rFonts w:hint="eastAsia" w:ascii="Times New Roman" w:hAnsi="Times New Roman" w:eastAsia="方正小标宋简体" w:cs="方正小标宋简体"/>
          <w:b w:val="0"/>
          <w:bCs/>
          <w:i w:val="0"/>
          <w:caps w:val="0"/>
          <w:color w:val="333333"/>
          <w:spacing w:val="0"/>
          <w:sz w:val="44"/>
          <w:szCs w:val="44"/>
          <w:shd w:val="clear" w:fill="FFFFFF"/>
          <w:lang w:val="en-US" w:eastAsia="zh-CN"/>
        </w:rPr>
        <w:t>曲阜市科学技术局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80" w:lineRule="exact"/>
        <w:ind w:left="0" w:right="0" w:firstLine="0"/>
        <w:jc w:val="center"/>
        <w:textAlignment w:val="auto"/>
        <w:outlineLvl w:val="9"/>
        <w:rPr>
          <w:rFonts w:hint="eastAsia" w:ascii="Times New Roman" w:hAnsi="Times New Roman" w:eastAsia="宋体" w:cs="宋体"/>
          <w:i w:val="0"/>
          <w:caps w:val="0"/>
          <w:color w:val="333333"/>
          <w:spacing w:val="0"/>
          <w:sz w:val="24"/>
          <w:szCs w:val="24"/>
        </w:rPr>
      </w:pPr>
      <w:r>
        <w:rPr>
          <w:rFonts w:hint="eastAsia" w:ascii="Times New Roman" w:hAnsi="Times New Roman" w:eastAsia="方正小标宋简体" w:cs="方正小标宋简体"/>
          <w:b w:val="0"/>
          <w:bCs/>
          <w:i w:val="0"/>
          <w:caps w:val="0"/>
          <w:color w:val="333333"/>
          <w:spacing w:val="-17"/>
          <w:sz w:val="44"/>
          <w:szCs w:val="44"/>
          <w:shd w:val="clear" w:fill="FFFFFF"/>
          <w:lang w:val="en-US" w:eastAsia="zh-CN"/>
        </w:rPr>
        <w:t>2022年</w:t>
      </w:r>
      <w:r>
        <w:rPr>
          <w:rFonts w:hint="eastAsia" w:ascii="Times New Roman" w:hAnsi="Times New Roman" w:eastAsia="方正小标宋简体" w:cs="方正小标宋简体"/>
          <w:b w:val="0"/>
          <w:bCs/>
          <w:i w:val="0"/>
          <w:caps w:val="0"/>
          <w:color w:val="333333"/>
          <w:spacing w:val="-17"/>
          <w:sz w:val="44"/>
          <w:szCs w:val="44"/>
          <w:shd w:val="clear" w:fill="FFFFFF"/>
        </w:rPr>
        <w:t>政府信息公开工作</w:t>
      </w:r>
      <w:r>
        <w:rPr>
          <w:rFonts w:hint="eastAsia" w:ascii="Times New Roman" w:hAnsi="Times New Roman" w:eastAsia="方正小标宋简体" w:cs="方正小标宋简体"/>
          <w:b w:val="0"/>
          <w:bCs/>
          <w:i w:val="0"/>
          <w:caps w:val="0"/>
          <w:color w:val="333333"/>
          <w:spacing w:val="0"/>
          <w:sz w:val="44"/>
          <w:szCs w:val="44"/>
          <w:shd w:val="clear" w:fill="FFFFFF"/>
        </w:rPr>
        <w:t>年度报告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80" w:lineRule="exact"/>
        <w:ind w:left="0" w:right="0" w:firstLine="420"/>
        <w:jc w:val="both"/>
        <w:textAlignment w:val="auto"/>
        <w:rPr>
          <w:rFonts w:hint="eastAsia" w:ascii="Times New Roman" w:hAnsi="Times New Roman" w:eastAsia="宋体" w:cs="宋体"/>
          <w:i w:val="0"/>
          <w:caps w:val="0"/>
          <w:color w:val="333333"/>
          <w:spacing w:val="0"/>
          <w:sz w:val="24"/>
          <w:szCs w:val="24"/>
        </w:rPr>
      </w:pPr>
    </w:p>
    <w:p>
      <w:pPr>
        <w:keepNext w:val="0"/>
        <w:keepLines w:val="0"/>
        <w:pageBreakBefore w:val="0"/>
        <w:kinsoku/>
        <w:wordWrap/>
        <w:overflowPunct/>
        <w:topLinePunct w:val="0"/>
        <w:autoSpaceDE/>
        <w:autoSpaceDN/>
        <w:bidi w:val="0"/>
        <w:adjustRightInd w:val="0"/>
        <w:snapToGrid w:val="0"/>
        <w:spacing w:line="580" w:lineRule="exact"/>
        <w:ind w:leftChars="0" w:firstLine="640" w:firstLineChars="200"/>
        <w:textAlignment w:val="auto"/>
        <w:rPr>
          <w:rFonts w:hint="default" w:ascii="Times New Roman" w:hAnsi="Times New Roman" w:eastAsia="方正仿宋简体" w:cs="仿宋_GB2312"/>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简体" w:cs="仿宋_GB2312"/>
          <w:b w:val="0"/>
          <w:bCs w:val="0"/>
          <w:color w:val="000000" w:themeColor="text1"/>
          <w:sz w:val="32"/>
          <w:szCs w:val="32"/>
          <w:lang w:val="en-US" w:eastAsia="zh-CN"/>
          <w14:textFill>
            <w14:solidFill>
              <w14:schemeClr w14:val="tx1"/>
            </w14:solidFill>
          </w14:textFill>
        </w:rPr>
        <w:t>本报告由</w:t>
      </w:r>
      <w:r>
        <w:rPr>
          <w:rFonts w:hint="eastAsia" w:ascii="Times New Roman" w:hAnsi="Times New Roman" w:eastAsia="方正仿宋简体" w:cs="仿宋_GB2312"/>
          <w:b w:val="0"/>
          <w:bCs w:val="0"/>
          <w:color w:val="000000" w:themeColor="text1"/>
          <w:sz w:val="32"/>
          <w:szCs w:val="32"/>
          <w:lang w:val="en-US" w:eastAsia="zh-CN"/>
          <w14:textFill>
            <w14:solidFill>
              <w14:schemeClr w14:val="tx1"/>
            </w14:solidFill>
          </w14:textFill>
        </w:rPr>
        <w:t>曲阜市科学技术局</w:t>
      </w:r>
      <w:r>
        <w:rPr>
          <w:rFonts w:hint="default" w:ascii="Times New Roman" w:hAnsi="Times New Roman" w:eastAsia="方正仿宋简体" w:cs="仿宋_GB2312"/>
          <w:b w:val="0"/>
          <w:bCs w:val="0"/>
          <w:color w:val="000000" w:themeColor="text1"/>
          <w:sz w:val="32"/>
          <w:szCs w:val="32"/>
          <w:lang w:val="en-US" w:eastAsia="zh-CN"/>
          <w14:textFill>
            <w14:solidFill>
              <w14:schemeClr w14:val="tx1"/>
            </w14:solidFill>
          </w14:textFill>
        </w:rPr>
        <w:t>按照《中华人民共和国政府信息公开条例》（以下简称《条例》）和《中华人民共和国政府信息公开工作年度报告格式》（国办公开办函〔2021〕30号）要求编制。</w:t>
      </w:r>
    </w:p>
    <w:p>
      <w:pPr>
        <w:keepNext w:val="0"/>
        <w:keepLines w:val="0"/>
        <w:pageBreakBefore w:val="0"/>
        <w:kinsoku/>
        <w:wordWrap/>
        <w:overflowPunct/>
        <w:topLinePunct w:val="0"/>
        <w:autoSpaceDE/>
        <w:autoSpaceDN/>
        <w:bidi w:val="0"/>
        <w:adjustRightInd w:val="0"/>
        <w:snapToGrid w:val="0"/>
        <w:spacing w:line="580" w:lineRule="exact"/>
        <w:ind w:leftChars="0" w:firstLine="640" w:firstLineChars="200"/>
        <w:textAlignment w:val="auto"/>
        <w:rPr>
          <w:rFonts w:hint="default" w:ascii="Times New Roman" w:hAnsi="Times New Roman" w:eastAsia="方正仿宋简体" w:cs="仿宋_GB2312"/>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简体" w:cs="仿宋_GB2312"/>
          <w:b w:val="0"/>
          <w:bCs w:val="0"/>
          <w:color w:val="000000" w:themeColor="text1"/>
          <w:sz w:val="32"/>
          <w:szCs w:val="32"/>
          <w:lang w:val="en-US" w:eastAsia="zh-CN"/>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方正仿宋简体" w:cs="仿宋_GB2312"/>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简体" w:cs="仿宋_GB2312"/>
          <w:b w:val="0"/>
          <w:bCs w:val="0"/>
          <w:color w:val="000000" w:themeColor="text1"/>
          <w:sz w:val="32"/>
          <w:szCs w:val="32"/>
          <w:lang w:val="en-US" w:eastAsia="zh-CN"/>
          <w14:textFill>
            <w14:solidFill>
              <w14:schemeClr w14:val="tx1"/>
            </w14:solidFill>
          </w14:textFill>
        </w:rPr>
        <w:t>本报告所列数据的统计期限自2022年1月1日起至2022年12月31日止。本报告电子版可在“中国·</w:t>
      </w:r>
      <w:r>
        <w:rPr>
          <w:rFonts w:hint="eastAsia" w:ascii="Times New Roman" w:hAnsi="Times New Roman" w:eastAsia="方正仿宋简体" w:cs="仿宋_GB2312"/>
          <w:b w:val="0"/>
          <w:bCs w:val="0"/>
          <w:color w:val="000000" w:themeColor="text1"/>
          <w:sz w:val="32"/>
          <w:szCs w:val="32"/>
          <w:lang w:val="en-US" w:eastAsia="zh-CN"/>
          <w14:textFill>
            <w14:solidFill>
              <w14:schemeClr w14:val="tx1"/>
            </w14:solidFill>
          </w14:textFill>
        </w:rPr>
        <w:t>曲阜</w:t>
      </w:r>
      <w:r>
        <w:rPr>
          <w:rFonts w:hint="default" w:ascii="Times New Roman" w:hAnsi="Times New Roman" w:eastAsia="方正仿宋简体" w:cs="仿宋_GB2312"/>
          <w:b w:val="0"/>
          <w:bCs w:val="0"/>
          <w:color w:val="000000" w:themeColor="text1"/>
          <w:sz w:val="32"/>
          <w:szCs w:val="32"/>
          <w:lang w:val="en-US" w:eastAsia="zh-CN"/>
          <w14:textFill>
            <w14:solidFill>
              <w14:schemeClr w14:val="tx1"/>
            </w14:solidFill>
          </w14:textFill>
        </w:rPr>
        <w:t>”政府门户网站（</w:t>
      </w:r>
      <w:r>
        <w:rPr>
          <w:rFonts w:hint="eastAsia" w:ascii="Times New Roman" w:hAnsi="Times New Roman" w:eastAsia="方正仿宋简体" w:cs="仿宋_GB2312"/>
          <w:b w:val="0"/>
          <w:bCs w:val="0"/>
          <w:color w:val="000000" w:themeColor="text1"/>
          <w:sz w:val="32"/>
          <w:szCs w:val="32"/>
          <w:lang w:val="en-US" w:eastAsia="zh-CN"/>
          <w14:textFill>
            <w14:solidFill>
              <w14:schemeClr w14:val="tx1"/>
            </w14:solidFill>
          </w14:textFill>
        </w:rPr>
        <w:t>www.qufu.gov.cn</w:t>
      </w:r>
      <w:r>
        <w:rPr>
          <w:rFonts w:hint="default" w:ascii="Times New Roman" w:hAnsi="Times New Roman" w:eastAsia="方正仿宋简体" w:cs="仿宋_GB2312"/>
          <w:b w:val="0"/>
          <w:bCs w:val="0"/>
          <w:color w:val="000000" w:themeColor="text1"/>
          <w:sz w:val="32"/>
          <w:szCs w:val="32"/>
          <w:lang w:val="en-US" w:eastAsia="zh-CN"/>
          <w14:textFill>
            <w14:solidFill>
              <w14:schemeClr w14:val="tx1"/>
            </w14:solidFill>
          </w14:textFill>
        </w:rPr>
        <w:t>）查阅或下载。如对本报告有疑问，请与</w:t>
      </w:r>
      <w:r>
        <w:rPr>
          <w:rFonts w:hint="eastAsia" w:ascii="Times New Roman" w:hAnsi="Times New Roman" w:eastAsia="方正仿宋简体" w:cs="仿宋_GB2312"/>
          <w:b w:val="0"/>
          <w:bCs w:val="0"/>
          <w:color w:val="000000" w:themeColor="text1"/>
          <w:sz w:val="32"/>
          <w:szCs w:val="32"/>
          <w:lang w:val="en-US" w:eastAsia="zh-CN"/>
          <w14:textFill>
            <w14:solidFill>
              <w14:schemeClr w14:val="tx1"/>
            </w14:solidFill>
          </w14:textFill>
        </w:rPr>
        <w:t>曲阜市科学技术局</w:t>
      </w:r>
      <w:r>
        <w:rPr>
          <w:rFonts w:hint="default" w:ascii="Times New Roman" w:hAnsi="Times New Roman" w:eastAsia="方正仿宋简体" w:cs="仿宋_GB2312"/>
          <w:b w:val="0"/>
          <w:bCs w:val="0"/>
          <w:color w:val="000000" w:themeColor="text1"/>
          <w:sz w:val="32"/>
          <w:szCs w:val="32"/>
          <w:lang w:val="en-US" w:eastAsia="zh-CN"/>
          <w14:textFill>
            <w14:solidFill>
              <w14:schemeClr w14:val="tx1"/>
            </w14:solidFill>
          </w14:textFill>
        </w:rPr>
        <w:t>联系（地址：</w:t>
      </w:r>
      <w:r>
        <w:rPr>
          <w:rFonts w:hint="eastAsia" w:ascii="Times New Roman" w:hAnsi="Times New Roman" w:eastAsia="方正仿宋简体" w:cs="仿宋_GB2312"/>
          <w:b w:val="0"/>
          <w:bCs w:val="0"/>
          <w:color w:val="000000" w:themeColor="text1"/>
          <w:sz w:val="32"/>
          <w:szCs w:val="32"/>
          <w:lang w:val="en-US" w:eastAsia="zh-CN"/>
          <w14:textFill>
            <w14:solidFill>
              <w14:schemeClr w14:val="tx1"/>
            </w14:solidFill>
          </w14:textFill>
        </w:rPr>
        <w:t>曲阜市春秋路1号</w:t>
      </w:r>
      <w:r>
        <w:rPr>
          <w:rFonts w:hint="default" w:ascii="Times New Roman" w:hAnsi="Times New Roman" w:eastAsia="方正仿宋简体" w:cs="仿宋_GB2312"/>
          <w:b w:val="0"/>
          <w:bCs w:val="0"/>
          <w:color w:val="000000" w:themeColor="text1"/>
          <w:sz w:val="32"/>
          <w:szCs w:val="32"/>
          <w:lang w:val="en-US" w:eastAsia="zh-CN"/>
          <w14:textFill>
            <w14:solidFill>
              <w14:schemeClr w14:val="tx1"/>
            </w14:solidFill>
          </w14:textFill>
        </w:rPr>
        <w:t>，联系电话：0537—</w:t>
      </w:r>
      <w:r>
        <w:rPr>
          <w:rFonts w:hint="eastAsia" w:ascii="Times New Roman" w:hAnsi="Times New Roman" w:eastAsia="方正仿宋简体" w:cs="仿宋_GB2312"/>
          <w:b w:val="0"/>
          <w:bCs w:val="0"/>
          <w:color w:val="000000" w:themeColor="text1"/>
          <w:sz w:val="32"/>
          <w:szCs w:val="32"/>
          <w:lang w:val="en-US" w:eastAsia="zh-CN"/>
          <w14:textFill>
            <w14:solidFill>
              <w14:schemeClr w14:val="tx1"/>
            </w14:solidFill>
          </w14:textFill>
        </w:rPr>
        <w:t>4498593</w:t>
      </w:r>
      <w:r>
        <w:rPr>
          <w:rFonts w:hint="default" w:ascii="Times New Roman" w:hAnsi="Times New Roman" w:eastAsia="方正仿宋简体" w:cs="仿宋_GB2312"/>
          <w:b w:val="0"/>
          <w:bCs w:val="0"/>
          <w:color w:val="000000" w:themeColor="text1"/>
          <w:sz w:val="32"/>
          <w:szCs w:val="32"/>
          <w:lang w:val="en-US" w:eastAsia="zh-CN"/>
          <w14:textFill>
            <w14:solidFill>
              <w14:schemeClr w14:val="tx1"/>
            </w14:solidFill>
          </w14:textFill>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80" w:lineRule="exact"/>
        <w:ind w:left="0" w:leftChars="0" w:right="0" w:firstLine="643" w:firstLineChars="200"/>
        <w:jc w:val="both"/>
        <w:textAlignment w:val="auto"/>
        <w:rPr>
          <w:rFonts w:hint="eastAsia" w:ascii="Times New Roman" w:hAnsi="Times New Roman" w:eastAsia="黑体" w:cs="黑体"/>
          <w:i w:val="0"/>
          <w:caps w:val="0"/>
          <w:color w:val="333333"/>
          <w:spacing w:val="0"/>
          <w:sz w:val="32"/>
          <w:szCs w:val="32"/>
        </w:rPr>
      </w:pPr>
      <w:r>
        <w:rPr>
          <w:rFonts w:hint="eastAsia" w:ascii="Times New Roman" w:hAnsi="Times New Roman" w:eastAsia="黑体" w:cs="黑体"/>
          <w:b/>
          <w:i w:val="0"/>
          <w:caps w:val="0"/>
          <w:color w:val="333333"/>
          <w:spacing w:val="0"/>
          <w:sz w:val="32"/>
          <w:szCs w:val="32"/>
          <w:shd w:val="clear" w:fill="FFFFFF"/>
        </w:rPr>
        <w:t>一、总体情况</w:t>
      </w:r>
    </w:p>
    <w:p>
      <w:pPr>
        <w:keepNext w:val="0"/>
        <w:keepLines w:val="0"/>
        <w:pageBreakBefore w:val="0"/>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方正仿宋简体"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仿宋简体" w:cs="仿宋_GB2312"/>
          <w:b w:val="0"/>
          <w:bCs w:val="0"/>
          <w:color w:val="000000" w:themeColor="text1"/>
          <w:sz w:val="32"/>
          <w:szCs w:val="32"/>
          <w:lang w:val="en-US" w:eastAsia="zh-CN"/>
          <w14:textFill>
            <w14:solidFill>
              <w14:schemeClr w14:val="tx1"/>
            </w14:solidFill>
          </w14:textFill>
        </w:rPr>
        <w:t>2022年，曲阜市科技局在市委、市政府的坚强领导下，严格执行《中华人民共和国政府信息公开条例》等有关规定和要求，坚持以公开为原则，不公开为例外的工作原则，认真开展政府信息公开工作。</w:t>
      </w:r>
    </w:p>
    <w:p>
      <w:pPr>
        <w:keepNext w:val="0"/>
        <w:keepLines w:val="0"/>
        <w:pageBreakBefore w:val="0"/>
        <w:numPr>
          <w:ilvl w:val="0"/>
          <w:numId w:val="0"/>
        </w:numPr>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方正仿宋简体"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楷体简体" w:cs="方正楷体简体"/>
          <w:color w:val="FF0000"/>
          <w:sz w:val="32"/>
          <w:szCs w:val="32"/>
          <w:lang w:val="en-US" w:eastAsia="zh-CN"/>
        </w:rPr>
        <w:drawing>
          <wp:anchor distT="0" distB="0" distL="114935" distR="114935" simplePos="0" relativeHeight="251659264" behindDoc="0" locked="0" layoutInCell="1" allowOverlap="1">
            <wp:simplePos x="0" y="0"/>
            <wp:positionH relativeFrom="column">
              <wp:posOffset>360680</wp:posOffset>
            </wp:positionH>
            <wp:positionV relativeFrom="paragraph">
              <wp:posOffset>3161030</wp:posOffset>
            </wp:positionV>
            <wp:extent cx="4481195" cy="2980690"/>
            <wp:effectExtent l="5080" t="4445" r="9525" b="571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r>
        <w:rPr>
          <w:rFonts w:hint="eastAsia" w:ascii="Times New Roman" w:hAnsi="Times New Roman" w:eastAsia="方正楷体简体" w:cs="方正楷体简体"/>
          <w:b w:val="0"/>
          <w:bCs w:val="0"/>
          <w:color w:val="000000" w:themeColor="text1"/>
          <w:sz w:val="32"/>
          <w:szCs w:val="32"/>
          <w:lang w:val="en-US" w:eastAsia="zh-CN"/>
          <w14:textFill>
            <w14:solidFill>
              <w14:schemeClr w14:val="tx1"/>
            </w14:solidFill>
          </w14:textFill>
        </w:rPr>
        <w:t>1.主动公开方面。</w:t>
      </w:r>
      <w:r>
        <w:rPr>
          <w:rFonts w:hint="eastAsia" w:ascii="Times New Roman" w:hAnsi="Times New Roman" w:eastAsia="方正仿宋简体" w:cs="仿宋_GB2312"/>
          <w:b w:val="0"/>
          <w:bCs w:val="0"/>
          <w:color w:val="000000" w:themeColor="text1"/>
          <w:sz w:val="32"/>
          <w:szCs w:val="32"/>
          <w:lang w:val="en-US" w:eastAsia="zh-CN"/>
          <w14:textFill>
            <w14:solidFill>
              <w14:schemeClr w14:val="tx1"/>
            </w14:solidFill>
          </w14:textFill>
        </w:rPr>
        <w:t>坚持以企业、群众需求为导向，按照“应公开、尽公开”的要求，以公开为常态、不公开为例外的标准，通过政府门户网站、政务新媒体全面公开科技动态、惠企政策、财政信息和行政执法等方面的信息，让群众看得到、听得懂、能监督。2022年市科技局通过各类媒体平台公开政务信息337条，其中通过政务公开栏目公开各类政务信息34条，通过网站子站点主动公开各类信息144条；通过微信公众号主动公开各类信息159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0" w:firstLine="0" w:firstLineChars="0"/>
        <w:jc w:val="both"/>
        <w:textAlignment w:val="auto"/>
        <w:rPr>
          <w:rFonts w:hint="eastAsia" w:ascii="Times New Roman" w:hAnsi="Times New Roman" w:eastAsia="方正楷体简体" w:cs="方正楷体简体"/>
          <w:b w:val="0"/>
          <w:bCs w:val="0"/>
          <w:color w:val="000000" w:themeColor="text1"/>
          <w:sz w:val="32"/>
          <w:szCs w:val="32"/>
          <w:lang w:val="en-US" w:eastAsia="zh-CN"/>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方正仿宋简体"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楷体简体" w:cs="方正楷体简体"/>
          <w:b w:val="0"/>
          <w:bCs w:val="0"/>
          <w:color w:val="000000" w:themeColor="text1"/>
          <w:sz w:val="32"/>
          <w:szCs w:val="32"/>
          <w:lang w:val="en-US" w:eastAsia="zh-CN"/>
          <w14:textFill>
            <w14:solidFill>
              <w14:schemeClr w14:val="tx1"/>
            </w14:solidFill>
          </w14:textFill>
        </w:rPr>
        <w:t>2.依申请公开工作方面。</w:t>
      </w:r>
      <w:r>
        <w:rPr>
          <w:rFonts w:hint="eastAsia" w:ascii="Times New Roman" w:hAnsi="Times New Roman" w:eastAsia="方正仿宋简体" w:cs="仿宋_GB2312"/>
          <w:b w:val="0"/>
          <w:bCs w:val="0"/>
          <w:color w:val="000000" w:themeColor="text1"/>
          <w:sz w:val="32"/>
          <w:szCs w:val="32"/>
          <w:lang w:val="en-US" w:eastAsia="zh-CN"/>
          <w14:textFill>
            <w14:solidFill>
              <w14:schemeClr w14:val="tx1"/>
            </w14:solidFill>
          </w14:textFill>
        </w:rPr>
        <w:t>2022年我局未收到公民、法人和其他组织的政府信息公开申请。</w:t>
      </w:r>
    </w:p>
    <w:p>
      <w:pPr>
        <w:keepNext w:val="0"/>
        <w:keepLines w:val="0"/>
        <w:pageBreakBefore w:val="0"/>
        <w:numPr>
          <w:ilvl w:val="0"/>
          <w:numId w:val="0"/>
        </w:numPr>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方正仿宋简体"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楷体简体" w:cs="方正楷体简体"/>
          <w:b w:val="0"/>
          <w:bCs w:val="0"/>
          <w:color w:val="000000" w:themeColor="text1"/>
          <w:sz w:val="32"/>
          <w:szCs w:val="32"/>
          <w:lang w:val="en-US" w:eastAsia="zh-CN"/>
          <w14:textFill>
            <w14:solidFill>
              <w14:schemeClr w14:val="tx1"/>
            </w14:solidFill>
          </w14:textFill>
        </w:rPr>
        <w:t>3.政府信息管理方面。</w:t>
      </w:r>
      <w:r>
        <w:rPr>
          <w:rFonts w:hint="eastAsia" w:ascii="Times New Roman" w:hAnsi="Times New Roman" w:eastAsia="方正仿宋简体" w:cs="仿宋_GB2312"/>
          <w:b w:val="0"/>
          <w:bCs w:val="0"/>
          <w:color w:val="000000" w:themeColor="text1"/>
          <w:sz w:val="32"/>
          <w:szCs w:val="32"/>
          <w:lang w:val="en-US" w:eastAsia="zh-CN"/>
          <w14:textFill>
            <w14:solidFill>
              <w14:schemeClr w14:val="tx1"/>
            </w14:solidFill>
          </w14:textFill>
        </w:rPr>
        <w:t>严格执行“分级审核、先审后发”的信息发布程序，落实三审制，明确审核流程，严把政治关、政策关、保密关、文字关，确保信息发布准确、安全、高效。</w:t>
      </w:r>
    </w:p>
    <w:p>
      <w:pPr>
        <w:keepNext w:val="0"/>
        <w:keepLines w:val="0"/>
        <w:pageBreakBefore w:val="0"/>
        <w:numPr>
          <w:ilvl w:val="0"/>
          <w:numId w:val="0"/>
        </w:numPr>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方正仿宋简体"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楷体简体" w:cs="方正楷体简体"/>
          <w:b w:val="0"/>
          <w:bCs w:val="0"/>
          <w:color w:val="000000" w:themeColor="text1"/>
          <w:sz w:val="32"/>
          <w:szCs w:val="32"/>
          <w:lang w:val="en-US" w:eastAsia="zh-CN"/>
          <w14:textFill>
            <w14:solidFill>
              <w14:schemeClr w14:val="tx1"/>
            </w14:solidFill>
          </w14:textFill>
        </w:rPr>
        <w:t>4.平台建设方面。</w:t>
      </w:r>
      <w:r>
        <w:rPr>
          <w:rFonts w:hint="eastAsia" w:ascii="Times New Roman" w:hAnsi="Times New Roman" w:eastAsia="方正仿宋简体" w:cs="仿宋_GB2312"/>
          <w:b w:val="0"/>
          <w:bCs w:val="0"/>
          <w:color w:val="000000" w:themeColor="text1"/>
          <w:sz w:val="32"/>
          <w:szCs w:val="32"/>
          <w:lang w:val="en-US" w:eastAsia="zh-CN"/>
          <w14:textFill>
            <w14:solidFill>
              <w14:schemeClr w14:val="tx1"/>
            </w14:solidFill>
          </w14:textFill>
        </w:rPr>
        <w:t>全面加强政府门户网站政务公开专栏维护，及时更新科技动态、惠企政策、回应关切等信息。专人负责“曲阜科技”微信公众号维护和信息发布工作，打造以政府门户网站为主，“曲阜科技”微信公众号等新媒体协同发力的政务公开体系，以政务公开为抓手全力做好科技领域各项工作。</w:t>
      </w:r>
    </w:p>
    <w:p>
      <w:pPr>
        <w:keepNext w:val="0"/>
        <w:keepLines w:val="0"/>
        <w:pageBreakBefore w:val="0"/>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黑体" w:cs="黑体"/>
          <w:b w:val="0"/>
          <w:bCs/>
          <w:i w:val="0"/>
          <w:caps w:val="0"/>
          <w:color w:val="333333"/>
          <w:spacing w:val="0"/>
          <w:sz w:val="32"/>
          <w:szCs w:val="32"/>
          <w:shd w:val="clear" w:fill="FFFFFF"/>
        </w:rPr>
      </w:pPr>
      <w:r>
        <w:rPr>
          <w:rFonts w:hint="eastAsia" w:ascii="Times New Roman" w:hAnsi="Times New Roman" w:eastAsia="方正楷体简体" w:cs="方正楷体简体"/>
          <w:b w:val="0"/>
          <w:bCs w:val="0"/>
          <w:color w:val="000000" w:themeColor="text1"/>
          <w:sz w:val="32"/>
          <w:szCs w:val="32"/>
          <w:lang w:val="en-US" w:eastAsia="zh-CN"/>
          <w14:textFill>
            <w14:solidFill>
              <w14:schemeClr w14:val="tx1"/>
            </w14:solidFill>
          </w14:textFill>
        </w:rPr>
        <w:t>5.监督保障方面。</w:t>
      </w:r>
      <w:r>
        <w:rPr>
          <w:rFonts w:hint="eastAsia" w:ascii="Times New Roman" w:hAnsi="Times New Roman" w:eastAsia="方正仿宋简体" w:cs="仿宋_GB2312"/>
          <w:b w:val="0"/>
          <w:bCs w:val="0"/>
          <w:color w:val="000000" w:themeColor="text1"/>
          <w:sz w:val="32"/>
          <w:szCs w:val="32"/>
          <w:lang w:val="en-US" w:eastAsia="zh-CN"/>
          <w14:textFill>
            <w14:solidFill>
              <w14:schemeClr w14:val="tx1"/>
            </w14:solidFill>
          </w14:textFill>
        </w:rPr>
        <w:t> 按要求经常开展政务公开自查，找准问题，及时完成任务，并接受上级检查考核，根据测评反馈问题，及时对照问题明细整改落实，上报整改报告，不断提升信息公开质量。组织召开政务公开工作培训会，集中学习《中华人民共和国政府信息公开条例》等文件，进一步增强机关干部的政务公开意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80" w:lineRule="exact"/>
        <w:ind w:left="0" w:right="0" w:firstLine="420"/>
        <w:jc w:val="both"/>
        <w:textAlignment w:val="auto"/>
        <w:rPr>
          <w:rFonts w:hint="eastAsia" w:ascii="Times New Roman" w:hAnsi="Times New Roman" w:eastAsia="黑体" w:cs="黑体"/>
          <w:b w:val="0"/>
          <w:bCs/>
          <w:i w:val="0"/>
          <w:caps w:val="0"/>
          <w:color w:val="333333"/>
          <w:spacing w:val="0"/>
          <w:sz w:val="32"/>
          <w:szCs w:val="32"/>
          <w:shd w:val="clear" w:fill="FFFFFF"/>
        </w:rPr>
      </w:pPr>
      <w:r>
        <w:rPr>
          <w:rFonts w:hint="eastAsia" w:ascii="Times New Roman" w:hAnsi="Times New Roman" w:eastAsia="黑体" w:cs="黑体"/>
          <w:b w:val="0"/>
          <w:bCs/>
          <w:i w:val="0"/>
          <w:caps w:val="0"/>
          <w:color w:val="333333"/>
          <w:spacing w:val="0"/>
          <w:sz w:val="32"/>
          <w:szCs w:val="32"/>
          <w:shd w:val="clear" w:fill="FFFFFF"/>
        </w:rPr>
        <w:t>二、主动公开政府信息情况</w:t>
      </w:r>
    </w:p>
    <w:tbl>
      <w:tblPr>
        <w:tblStyle w:val="3"/>
        <w:tblW w:w="8404" w:type="dxa"/>
        <w:jc w:val="center"/>
        <w:tblLayout w:type="fixed"/>
        <w:tblCellMar>
          <w:top w:w="0" w:type="dxa"/>
          <w:left w:w="108" w:type="dxa"/>
          <w:bottom w:w="0" w:type="dxa"/>
          <w:right w:w="108" w:type="dxa"/>
        </w:tblCellMar>
      </w:tblPr>
      <w:tblGrid>
        <w:gridCol w:w="2645"/>
        <w:gridCol w:w="1913"/>
        <w:gridCol w:w="1950"/>
        <w:gridCol w:w="1896"/>
      </w:tblGrid>
      <w:tr>
        <w:tblPrEx>
          <w:tblCellMar>
            <w:top w:w="0" w:type="dxa"/>
            <w:left w:w="108" w:type="dxa"/>
            <w:bottom w:w="0" w:type="dxa"/>
            <w:right w:w="108" w:type="dxa"/>
          </w:tblCellMar>
        </w:tblPrEx>
        <w:trPr>
          <w:trHeight w:val="567" w:hRule="atLeast"/>
          <w:jc w:val="center"/>
        </w:trPr>
        <w:tc>
          <w:tcPr>
            <w:tcW w:w="840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第二十条第（一）项</w:t>
            </w:r>
          </w:p>
        </w:tc>
      </w:tr>
      <w:tr>
        <w:tblPrEx>
          <w:tblCellMar>
            <w:top w:w="0" w:type="dxa"/>
            <w:left w:w="108" w:type="dxa"/>
            <w:bottom w:w="0" w:type="dxa"/>
            <w:right w:w="108" w:type="dxa"/>
          </w:tblCellMar>
        </w:tblPrEx>
        <w:trPr>
          <w:trHeight w:val="567" w:hRule="atLeast"/>
          <w:jc w:val="center"/>
        </w:trPr>
        <w:tc>
          <w:tcPr>
            <w:tcW w:w="264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信息内容</w:t>
            </w:r>
          </w:p>
        </w:tc>
        <w:tc>
          <w:tcPr>
            <w:tcW w:w="1913" w:type="dxa"/>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本年制发件数</w:t>
            </w:r>
          </w:p>
        </w:tc>
        <w:tc>
          <w:tcPr>
            <w:tcW w:w="1950" w:type="dxa"/>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本年废止件数</w:t>
            </w:r>
          </w:p>
        </w:tc>
        <w:tc>
          <w:tcPr>
            <w:tcW w:w="1896" w:type="dxa"/>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现行有效件数</w:t>
            </w:r>
          </w:p>
        </w:tc>
      </w:tr>
      <w:tr>
        <w:tblPrEx>
          <w:tblCellMar>
            <w:top w:w="0" w:type="dxa"/>
            <w:left w:w="108" w:type="dxa"/>
            <w:bottom w:w="0" w:type="dxa"/>
            <w:right w:w="108" w:type="dxa"/>
          </w:tblCellMar>
        </w:tblPrEx>
        <w:trPr>
          <w:trHeight w:val="567" w:hRule="atLeast"/>
          <w:jc w:val="center"/>
        </w:trPr>
        <w:tc>
          <w:tcPr>
            <w:tcW w:w="264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规章</w:t>
            </w:r>
          </w:p>
        </w:tc>
        <w:tc>
          <w:tcPr>
            <w:tcW w:w="1913" w:type="dxa"/>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0</w:t>
            </w:r>
          </w:p>
        </w:tc>
        <w:tc>
          <w:tcPr>
            <w:tcW w:w="1950" w:type="dxa"/>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0</w:t>
            </w:r>
          </w:p>
        </w:tc>
        <w:tc>
          <w:tcPr>
            <w:tcW w:w="1896" w:type="dxa"/>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0</w:t>
            </w:r>
          </w:p>
        </w:tc>
      </w:tr>
      <w:tr>
        <w:tblPrEx>
          <w:tblCellMar>
            <w:top w:w="0" w:type="dxa"/>
            <w:left w:w="108" w:type="dxa"/>
            <w:bottom w:w="0" w:type="dxa"/>
            <w:right w:w="108" w:type="dxa"/>
          </w:tblCellMar>
        </w:tblPrEx>
        <w:trPr>
          <w:trHeight w:val="567" w:hRule="atLeast"/>
          <w:jc w:val="center"/>
        </w:trPr>
        <w:tc>
          <w:tcPr>
            <w:tcW w:w="264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行政规范性文件</w:t>
            </w:r>
          </w:p>
        </w:tc>
        <w:tc>
          <w:tcPr>
            <w:tcW w:w="1913" w:type="dxa"/>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0</w:t>
            </w:r>
          </w:p>
        </w:tc>
        <w:tc>
          <w:tcPr>
            <w:tcW w:w="1950" w:type="dxa"/>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0</w:t>
            </w:r>
          </w:p>
        </w:tc>
        <w:tc>
          <w:tcPr>
            <w:tcW w:w="1896" w:type="dxa"/>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1</w:t>
            </w:r>
          </w:p>
        </w:tc>
      </w:tr>
      <w:tr>
        <w:tblPrEx>
          <w:tblCellMar>
            <w:top w:w="0" w:type="dxa"/>
            <w:left w:w="108" w:type="dxa"/>
            <w:bottom w:w="0" w:type="dxa"/>
            <w:right w:w="108" w:type="dxa"/>
          </w:tblCellMar>
        </w:tblPrEx>
        <w:trPr>
          <w:trHeight w:val="567" w:hRule="atLeast"/>
          <w:jc w:val="center"/>
        </w:trPr>
        <w:tc>
          <w:tcPr>
            <w:tcW w:w="840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第二十条第（五）项</w:t>
            </w:r>
          </w:p>
        </w:tc>
      </w:tr>
      <w:tr>
        <w:tblPrEx>
          <w:tblCellMar>
            <w:top w:w="0" w:type="dxa"/>
            <w:left w:w="108" w:type="dxa"/>
            <w:bottom w:w="0" w:type="dxa"/>
            <w:right w:w="108" w:type="dxa"/>
          </w:tblCellMar>
        </w:tblPrEx>
        <w:trPr>
          <w:trHeight w:val="567" w:hRule="atLeast"/>
          <w:jc w:val="center"/>
        </w:trPr>
        <w:tc>
          <w:tcPr>
            <w:tcW w:w="264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信息内容</w:t>
            </w:r>
          </w:p>
        </w:tc>
        <w:tc>
          <w:tcPr>
            <w:tcW w:w="5759"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本年处理决定数量</w:t>
            </w:r>
          </w:p>
        </w:tc>
      </w:tr>
      <w:tr>
        <w:tblPrEx>
          <w:tblCellMar>
            <w:top w:w="0" w:type="dxa"/>
            <w:left w:w="108" w:type="dxa"/>
            <w:bottom w:w="0" w:type="dxa"/>
            <w:right w:w="108" w:type="dxa"/>
          </w:tblCellMar>
        </w:tblPrEx>
        <w:trPr>
          <w:trHeight w:val="567" w:hRule="atLeast"/>
          <w:jc w:val="center"/>
        </w:trPr>
        <w:tc>
          <w:tcPr>
            <w:tcW w:w="264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行政许可</w:t>
            </w:r>
          </w:p>
        </w:tc>
        <w:tc>
          <w:tcPr>
            <w:tcW w:w="5759"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0</w:t>
            </w:r>
          </w:p>
        </w:tc>
      </w:tr>
      <w:tr>
        <w:tblPrEx>
          <w:tblCellMar>
            <w:top w:w="0" w:type="dxa"/>
            <w:left w:w="108" w:type="dxa"/>
            <w:bottom w:w="0" w:type="dxa"/>
            <w:right w:w="108" w:type="dxa"/>
          </w:tblCellMar>
        </w:tblPrEx>
        <w:trPr>
          <w:trHeight w:val="567" w:hRule="atLeast"/>
          <w:jc w:val="center"/>
        </w:trPr>
        <w:tc>
          <w:tcPr>
            <w:tcW w:w="840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第二十条第（六）项</w:t>
            </w:r>
          </w:p>
        </w:tc>
      </w:tr>
      <w:tr>
        <w:tblPrEx>
          <w:tblCellMar>
            <w:top w:w="0" w:type="dxa"/>
            <w:left w:w="108" w:type="dxa"/>
            <w:bottom w:w="0" w:type="dxa"/>
            <w:right w:w="108" w:type="dxa"/>
          </w:tblCellMar>
        </w:tblPrEx>
        <w:trPr>
          <w:trHeight w:val="567" w:hRule="atLeast"/>
          <w:jc w:val="center"/>
        </w:trPr>
        <w:tc>
          <w:tcPr>
            <w:tcW w:w="264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信息内容</w:t>
            </w:r>
          </w:p>
        </w:tc>
        <w:tc>
          <w:tcPr>
            <w:tcW w:w="5759"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本年处理决定数量</w:t>
            </w:r>
          </w:p>
        </w:tc>
      </w:tr>
      <w:tr>
        <w:tblPrEx>
          <w:tblCellMar>
            <w:top w:w="0" w:type="dxa"/>
            <w:left w:w="108" w:type="dxa"/>
            <w:bottom w:w="0" w:type="dxa"/>
            <w:right w:w="108" w:type="dxa"/>
          </w:tblCellMar>
        </w:tblPrEx>
        <w:trPr>
          <w:trHeight w:val="567" w:hRule="atLeast"/>
          <w:jc w:val="center"/>
        </w:trPr>
        <w:tc>
          <w:tcPr>
            <w:tcW w:w="264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行政处罚</w:t>
            </w:r>
          </w:p>
        </w:tc>
        <w:tc>
          <w:tcPr>
            <w:tcW w:w="5759"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0</w:t>
            </w:r>
          </w:p>
        </w:tc>
      </w:tr>
      <w:tr>
        <w:tblPrEx>
          <w:tblCellMar>
            <w:top w:w="0" w:type="dxa"/>
            <w:left w:w="108" w:type="dxa"/>
            <w:bottom w:w="0" w:type="dxa"/>
            <w:right w:w="108" w:type="dxa"/>
          </w:tblCellMar>
        </w:tblPrEx>
        <w:trPr>
          <w:trHeight w:val="567" w:hRule="atLeast"/>
          <w:jc w:val="center"/>
        </w:trPr>
        <w:tc>
          <w:tcPr>
            <w:tcW w:w="264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行政强制</w:t>
            </w:r>
          </w:p>
        </w:tc>
        <w:tc>
          <w:tcPr>
            <w:tcW w:w="5759"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0</w:t>
            </w:r>
          </w:p>
        </w:tc>
      </w:tr>
      <w:tr>
        <w:tblPrEx>
          <w:tblCellMar>
            <w:top w:w="0" w:type="dxa"/>
            <w:left w:w="108" w:type="dxa"/>
            <w:bottom w:w="0" w:type="dxa"/>
            <w:right w:w="108" w:type="dxa"/>
          </w:tblCellMar>
        </w:tblPrEx>
        <w:trPr>
          <w:trHeight w:val="567" w:hRule="atLeast"/>
          <w:jc w:val="center"/>
        </w:trPr>
        <w:tc>
          <w:tcPr>
            <w:tcW w:w="840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第二十条第（八）项</w:t>
            </w:r>
          </w:p>
        </w:tc>
      </w:tr>
      <w:tr>
        <w:tblPrEx>
          <w:tblCellMar>
            <w:top w:w="0" w:type="dxa"/>
            <w:left w:w="108" w:type="dxa"/>
            <w:bottom w:w="0" w:type="dxa"/>
            <w:right w:w="108" w:type="dxa"/>
          </w:tblCellMar>
        </w:tblPrEx>
        <w:trPr>
          <w:trHeight w:val="567" w:hRule="atLeast"/>
          <w:jc w:val="center"/>
        </w:trPr>
        <w:tc>
          <w:tcPr>
            <w:tcW w:w="264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信息内容</w:t>
            </w:r>
          </w:p>
        </w:tc>
        <w:tc>
          <w:tcPr>
            <w:tcW w:w="5759"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本年收费金额（单位：万元）</w:t>
            </w:r>
          </w:p>
        </w:tc>
      </w:tr>
      <w:tr>
        <w:tblPrEx>
          <w:tblCellMar>
            <w:top w:w="0" w:type="dxa"/>
            <w:left w:w="108" w:type="dxa"/>
            <w:bottom w:w="0" w:type="dxa"/>
            <w:right w:w="108" w:type="dxa"/>
          </w:tblCellMar>
        </w:tblPrEx>
        <w:trPr>
          <w:trHeight w:val="567" w:hRule="atLeast"/>
          <w:jc w:val="center"/>
        </w:trPr>
        <w:tc>
          <w:tcPr>
            <w:tcW w:w="264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行政事业性收费</w:t>
            </w:r>
          </w:p>
        </w:tc>
        <w:tc>
          <w:tcPr>
            <w:tcW w:w="5759"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0</w:t>
            </w:r>
          </w:p>
        </w:tc>
      </w:tr>
    </w:tbl>
    <w:p>
      <w:pPr>
        <w:rPr>
          <w:rFonts w:hint="eastAsia" w:ascii="Times New Roman" w:hAnsi="Times New Roman" w:eastAsia="黑体" w:cs="黑体"/>
          <w:b w:val="0"/>
          <w:bCs/>
          <w:i w:val="0"/>
          <w:caps w:val="0"/>
          <w:color w:val="000000" w:themeColor="text1"/>
          <w:spacing w:val="0"/>
          <w:kern w:val="0"/>
          <w:sz w:val="32"/>
          <w:szCs w:val="32"/>
          <w:shd w:val="clear" w:fill="FFFFFF"/>
          <w:lang w:val="en-US" w:eastAsia="zh-CN" w:bidi="ar"/>
          <w14:textFill>
            <w14:solidFill>
              <w14:schemeClr w14:val="tx1"/>
            </w14:solidFill>
          </w14:textFill>
        </w:rPr>
      </w:pPr>
    </w:p>
    <w:p>
      <w:pPr>
        <w:rPr>
          <w:rFonts w:hint="eastAsia" w:ascii="Times New Roman" w:hAnsi="Times New Roman" w:eastAsia="黑体" w:cs="黑体"/>
          <w:b w:val="0"/>
          <w:bCs/>
          <w:i w:val="0"/>
          <w:caps w:val="0"/>
          <w:color w:val="000000" w:themeColor="text1"/>
          <w:spacing w:val="0"/>
          <w:kern w:val="0"/>
          <w:sz w:val="32"/>
          <w:szCs w:val="32"/>
          <w:shd w:val="clear" w:fill="FFFFFF"/>
          <w:lang w:val="en-US" w:eastAsia="zh-CN" w:bidi="ar"/>
          <w14:textFill>
            <w14:solidFill>
              <w14:schemeClr w14:val="tx1"/>
            </w14:solidFill>
          </w14:textFill>
        </w:rPr>
      </w:pPr>
      <w:bookmarkStart w:id="10" w:name="_GoBack"/>
      <w:bookmarkEnd w:id="10"/>
    </w:p>
    <w:p>
      <w:pPr>
        <w:numPr>
          <w:ilvl w:val="0"/>
          <w:numId w:val="1"/>
        </w:numPr>
        <w:rPr>
          <w:rFonts w:hint="eastAsia" w:ascii="Times New Roman" w:hAnsi="Times New Roman" w:eastAsia="黑体" w:cs="黑体"/>
          <w:b w:val="0"/>
          <w:bCs/>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黑体" w:cs="黑体"/>
          <w:b w:val="0"/>
          <w:bCs/>
          <w:i w:val="0"/>
          <w:caps w:val="0"/>
          <w:color w:val="000000" w:themeColor="text1"/>
          <w:spacing w:val="0"/>
          <w:kern w:val="0"/>
          <w:sz w:val="32"/>
          <w:szCs w:val="32"/>
          <w:shd w:val="clear" w:fill="FFFFFF"/>
          <w:lang w:val="en-US" w:eastAsia="zh-CN" w:bidi="ar"/>
          <w14:textFill>
            <w14:solidFill>
              <w14:schemeClr w14:val="tx1"/>
            </w14:solidFill>
          </w14:textFill>
        </w:rPr>
        <w:t>收到和处理政府信息公开申请情况</w:t>
      </w:r>
    </w:p>
    <w:tbl>
      <w:tblPr>
        <w:tblStyle w:val="3"/>
        <w:tblW w:w="1070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75"/>
        <w:gridCol w:w="1087"/>
        <w:gridCol w:w="3621"/>
        <w:gridCol w:w="795"/>
        <w:gridCol w:w="795"/>
        <w:gridCol w:w="780"/>
        <w:gridCol w:w="960"/>
        <w:gridCol w:w="825"/>
        <w:gridCol w:w="540"/>
        <w:gridCol w:w="62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383" w:type="dxa"/>
            <w:gridSpan w:val="3"/>
            <w:vMerge w:val="restart"/>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both"/>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（本列数据的勾稽关系为：第一项加第二项之和，等于第三项加第四项之和）</w:t>
            </w:r>
          </w:p>
        </w:tc>
        <w:tc>
          <w:tcPr>
            <w:tcW w:w="5322" w:type="dxa"/>
            <w:gridSpan w:val="7"/>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Arial" w:hAnsi="Arial" w:eastAsia="Arial" w:cs="仿宋_GB2312"/>
                <w:b w:val="0"/>
                <w:bCs w:val="0"/>
                <w:color w:val="000000" w:themeColor="text1"/>
                <w:sz w:val="24"/>
                <w:szCs w:val="24"/>
                <w:lang w:val="en-US" w:eastAsia="zh-CN"/>
                <w14:textFill>
                  <w14:solidFill>
                    <w14:schemeClr w14:val="tx1"/>
                  </w14:solidFill>
                </w14:textFill>
              </w:rPr>
            </w:pPr>
            <w:r>
              <w:rPr>
                <w:rFonts w:hint="eastAsia" w:ascii="Arial" w:hAnsi="Arial" w:eastAsia="Arial" w:cs="仿宋_GB2312"/>
                <w:b w:val="0"/>
                <w:bCs w:val="0"/>
                <w:color w:val="000000" w:themeColor="text1"/>
                <w:sz w:val="24"/>
                <w:szCs w:val="24"/>
                <w:lang w:val="en-US" w:eastAsia="zh-CN"/>
                <w14:textFill>
                  <w14:solidFill>
                    <w14:schemeClr w14:val="tx1"/>
                  </w14:solidFill>
                </w14:textFill>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383" w:type="dxa"/>
            <w:gridSpan w:val="3"/>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p>
        </w:tc>
        <w:tc>
          <w:tcPr>
            <w:tcW w:w="795" w:type="dxa"/>
            <w:vMerge w:val="restart"/>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自然人</w:t>
            </w:r>
          </w:p>
        </w:tc>
        <w:tc>
          <w:tcPr>
            <w:tcW w:w="3900" w:type="dxa"/>
            <w:gridSpan w:val="5"/>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法人或其他组织</w:t>
            </w:r>
          </w:p>
        </w:tc>
        <w:tc>
          <w:tcPr>
            <w:tcW w:w="627" w:type="dxa"/>
            <w:vMerge w:val="restart"/>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Arial" w:hAnsi="Arial" w:eastAsia="Arial" w:cs="仿宋_GB2312"/>
                <w:b w:val="0"/>
                <w:bCs w:val="0"/>
                <w:color w:val="000000" w:themeColor="text1"/>
                <w:spacing w:val="0"/>
                <w:sz w:val="24"/>
                <w:szCs w:val="24"/>
                <w:lang w:val="en-US" w:eastAsia="zh-CN"/>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383" w:type="dxa"/>
            <w:gridSpan w:val="3"/>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p>
        </w:tc>
        <w:tc>
          <w:tcPr>
            <w:tcW w:w="795"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p>
        </w:tc>
        <w:tc>
          <w:tcPr>
            <w:tcW w:w="795" w:type="dxa"/>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商业企业</w:t>
            </w:r>
          </w:p>
        </w:tc>
        <w:tc>
          <w:tcPr>
            <w:tcW w:w="780" w:type="dxa"/>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科研机构</w:t>
            </w:r>
          </w:p>
        </w:tc>
        <w:tc>
          <w:tcPr>
            <w:tcW w:w="960" w:type="dxa"/>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社会公益组织</w:t>
            </w:r>
          </w:p>
        </w:tc>
        <w:tc>
          <w:tcPr>
            <w:tcW w:w="825" w:type="dxa"/>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法律服务机构</w:t>
            </w:r>
          </w:p>
        </w:tc>
        <w:tc>
          <w:tcPr>
            <w:tcW w:w="540" w:type="dxa"/>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其他</w:t>
            </w:r>
          </w:p>
        </w:tc>
        <w:tc>
          <w:tcPr>
            <w:tcW w:w="627"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Arial" w:hAnsi="Arial" w:eastAsia="Arial" w:cs="仿宋_GB2312"/>
                <w:b w:val="0"/>
                <w:bCs w:val="0"/>
                <w:color w:val="000000" w:themeColor="text1"/>
                <w:spacing w:val="0"/>
                <w:sz w:val="24"/>
                <w:szCs w:val="24"/>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5383" w:type="dxa"/>
            <w:gridSpan w:val="3"/>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一、</w:t>
            </w:r>
            <w:bookmarkStart w:id="0" w:name="_Hlk66973412"/>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本年新收政府信息公开申请数量</w:t>
            </w:r>
            <w:bookmarkEnd w:id="0"/>
          </w:p>
        </w:tc>
        <w:tc>
          <w:tcPr>
            <w:tcW w:w="79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79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78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96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82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54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62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383" w:type="dxa"/>
            <w:gridSpan w:val="3"/>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二、上年结转政府信息公开申请数量</w:t>
            </w:r>
          </w:p>
        </w:tc>
        <w:tc>
          <w:tcPr>
            <w:tcW w:w="79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79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78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96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82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54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62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75" w:type="dxa"/>
            <w:vMerge w:val="restart"/>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三、本年度办理结果</w:t>
            </w:r>
          </w:p>
        </w:tc>
        <w:tc>
          <w:tcPr>
            <w:tcW w:w="4708" w:type="dxa"/>
            <w:gridSpan w:val="2"/>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both"/>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（一）予以公开</w:t>
            </w:r>
          </w:p>
        </w:tc>
        <w:tc>
          <w:tcPr>
            <w:tcW w:w="79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79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78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96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82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54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62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80" w:hRule="atLeast"/>
          <w:jc w:val="center"/>
        </w:trPr>
        <w:tc>
          <w:tcPr>
            <w:tcW w:w="675"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p>
        </w:tc>
        <w:tc>
          <w:tcPr>
            <w:tcW w:w="4708" w:type="dxa"/>
            <w:gridSpan w:val="2"/>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（二）部分公开（</w:t>
            </w:r>
            <w:bookmarkStart w:id="1" w:name="_Hlk66973981"/>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区分处理的，只计这一情形，不计其他情形</w:t>
            </w:r>
            <w:bookmarkEnd w:id="1"/>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w:t>
            </w:r>
          </w:p>
        </w:tc>
        <w:tc>
          <w:tcPr>
            <w:tcW w:w="79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79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78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96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82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54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62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5" w:hRule="exact"/>
          <w:jc w:val="center"/>
        </w:trPr>
        <w:tc>
          <w:tcPr>
            <w:tcW w:w="675"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p>
        </w:tc>
        <w:tc>
          <w:tcPr>
            <w:tcW w:w="1087" w:type="dxa"/>
            <w:vMerge w:val="restart"/>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（三）不予公开</w:t>
            </w:r>
          </w:p>
        </w:tc>
        <w:tc>
          <w:tcPr>
            <w:tcW w:w="3621" w:type="dxa"/>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both"/>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1.属于国家秘密</w:t>
            </w:r>
          </w:p>
        </w:tc>
        <w:tc>
          <w:tcPr>
            <w:tcW w:w="79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79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78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96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82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54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62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38" w:hRule="exact"/>
          <w:jc w:val="center"/>
        </w:trPr>
        <w:tc>
          <w:tcPr>
            <w:tcW w:w="675"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p>
        </w:tc>
        <w:tc>
          <w:tcPr>
            <w:tcW w:w="1087"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p>
        </w:tc>
        <w:tc>
          <w:tcPr>
            <w:tcW w:w="3621" w:type="dxa"/>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both"/>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2.</w:t>
            </w:r>
            <w:bookmarkStart w:id="2" w:name="_Hlk66974104"/>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其他法律行政法规禁止公开</w:t>
            </w:r>
            <w:bookmarkEnd w:id="2"/>
          </w:p>
        </w:tc>
        <w:tc>
          <w:tcPr>
            <w:tcW w:w="79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79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78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96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82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54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62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675"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p>
        </w:tc>
        <w:tc>
          <w:tcPr>
            <w:tcW w:w="1087"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p>
        </w:tc>
        <w:tc>
          <w:tcPr>
            <w:tcW w:w="3621" w:type="dxa"/>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both"/>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3.危及“三安全一稳定”</w:t>
            </w:r>
          </w:p>
        </w:tc>
        <w:tc>
          <w:tcPr>
            <w:tcW w:w="79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79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78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96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82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54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62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9" w:hRule="exact"/>
          <w:jc w:val="center"/>
        </w:trPr>
        <w:tc>
          <w:tcPr>
            <w:tcW w:w="675"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p>
        </w:tc>
        <w:tc>
          <w:tcPr>
            <w:tcW w:w="1087"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p>
        </w:tc>
        <w:tc>
          <w:tcPr>
            <w:tcW w:w="3621" w:type="dxa"/>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both"/>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4.</w:t>
            </w:r>
            <w:bookmarkStart w:id="3" w:name="_Hlk66974290"/>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保护第三方合法权益</w:t>
            </w:r>
            <w:bookmarkEnd w:id="3"/>
          </w:p>
        </w:tc>
        <w:tc>
          <w:tcPr>
            <w:tcW w:w="79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79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78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96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82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54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62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9" w:hRule="exact"/>
          <w:jc w:val="center"/>
        </w:trPr>
        <w:tc>
          <w:tcPr>
            <w:tcW w:w="675"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p>
        </w:tc>
        <w:tc>
          <w:tcPr>
            <w:tcW w:w="1087"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p>
        </w:tc>
        <w:tc>
          <w:tcPr>
            <w:tcW w:w="3621" w:type="dxa"/>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both"/>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5.属于三类内部事务信息</w:t>
            </w:r>
          </w:p>
        </w:tc>
        <w:tc>
          <w:tcPr>
            <w:tcW w:w="79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79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78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96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82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54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62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9" w:hRule="exact"/>
          <w:jc w:val="center"/>
        </w:trPr>
        <w:tc>
          <w:tcPr>
            <w:tcW w:w="675"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p>
        </w:tc>
        <w:tc>
          <w:tcPr>
            <w:tcW w:w="1087"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p>
        </w:tc>
        <w:tc>
          <w:tcPr>
            <w:tcW w:w="3621" w:type="dxa"/>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both"/>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6.</w:t>
            </w:r>
            <w:bookmarkStart w:id="4" w:name="_Hlk66974555"/>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属于四类过程性信息</w:t>
            </w:r>
            <w:bookmarkEnd w:id="4"/>
          </w:p>
        </w:tc>
        <w:tc>
          <w:tcPr>
            <w:tcW w:w="79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79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78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96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82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54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62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89" w:hRule="exact"/>
          <w:jc w:val="center"/>
        </w:trPr>
        <w:tc>
          <w:tcPr>
            <w:tcW w:w="675"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p>
        </w:tc>
        <w:tc>
          <w:tcPr>
            <w:tcW w:w="1087"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p>
        </w:tc>
        <w:tc>
          <w:tcPr>
            <w:tcW w:w="3621" w:type="dxa"/>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both"/>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7.属于行政执法案卷</w:t>
            </w:r>
          </w:p>
        </w:tc>
        <w:tc>
          <w:tcPr>
            <w:tcW w:w="79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79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78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96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82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54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62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34" w:hRule="exact"/>
          <w:jc w:val="center"/>
        </w:trPr>
        <w:tc>
          <w:tcPr>
            <w:tcW w:w="675"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p>
        </w:tc>
        <w:tc>
          <w:tcPr>
            <w:tcW w:w="1087"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p>
        </w:tc>
        <w:tc>
          <w:tcPr>
            <w:tcW w:w="3621" w:type="dxa"/>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both"/>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8.</w:t>
            </w:r>
            <w:bookmarkStart w:id="5" w:name="_Hlk66975211"/>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属于行政查询事项</w:t>
            </w:r>
            <w:bookmarkEnd w:id="5"/>
          </w:p>
        </w:tc>
        <w:tc>
          <w:tcPr>
            <w:tcW w:w="79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79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78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96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82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54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62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0" w:hRule="exact"/>
          <w:jc w:val="center"/>
        </w:trPr>
        <w:tc>
          <w:tcPr>
            <w:tcW w:w="675"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p>
        </w:tc>
        <w:tc>
          <w:tcPr>
            <w:tcW w:w="1087" w:type="dxa"/>
            <w:vMerge w:val="restart"/>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（四）无法提供</w:t>
            </w:r>
          </w:p>
        </w:tc>
        <w:tc>
          <w:tcPr>
            <w:tcW w:w="3621" w:type="dxa"/>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both"/>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1.本机关不掌握相关政府信息</w:t>
            </w:r>
          </w:p>
        </w:tc>
        <w:tc>
          <w:tcPr>
            <w:tcW w:w="79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79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78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96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82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54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62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675"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p>
        </w:tc>
        <w:tc>
          <w:tcPr>
            <w:tcW w:w="1087"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p>
        </w:tc>
        <w:tc>
          <w:tcPr>
            <w:tcW w:w="3621" w:type="dxa"/>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both"/>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2.</w:t>
            </w:r>
            <w:bookmarkStart w:id="6" w:name="_Hlk66975392"/>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没有现成信息需要另行制作</w:t>
            </w:r>
            <w:bookmarkEnd w:id="6"/>
          </w:p>
        </w:tc>
        <w:tc>
          <w:tcPr>
            <w:tcW w:w="79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79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78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96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82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54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62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39" w:hRule="exact"/>
          <w:jc w:val="center"/>
        </w:trPr>
        <w:tc>
          <w:tcPr>
            <w:tcW w:w="675"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p>
        </w:tc>
        <w:tc>
          <w:tcPr>
            <w:tcW w:w="1087"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p>
        </w:tc>
        <w:tc>
          <w:tcPr>
            <w:tcW w:w="3621" w:type="dxa"/>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both"/>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3.</w:t>
            </w:r>
            <w:bookmarkStart w:id="7" w:name="_Hlk66975466"/>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补正后申请内容仍不明确</w:t>
            </w:r>
            <w:bookmarkEnd w:id="7"/>
          </w:p>
        </w:tc>
        <w:tc>
          <w:tcPr>
            <w:tcW w:w="79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79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78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96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82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54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62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9" w:hRule="exact"/>
          <w:jc w:val="center"/>
        </w:trPr>
        <w:tc>
          <w:tcPr>
            <w:tcW w:w="675"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p>
        </w:tc>
        <w:tc>
          <w:tcPr>
            <w:tcW w:w="1087" w:type="dxa"/>
            <w:vMerge w:val="restart"/>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（五）不予处理</w:t>
            </w:r>
          </w:p>
        </w:tc>
        <w:tc>
          <w:tcPr>
            <w:tcW w:w="3621" w:type="dxa"/>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both"/>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1.</w:t>
            </w:r>
            <w:bookmarkStart w:id="8" w:name="_Hlk66975537"/>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信访举报投诉类申请</w:t>
            </w:r>
            <w:bookmarkEnd w:id="8"/>
          </w:p>
        </w:tc>
        <w:tc>
          <w:tcPr>
            <w:tcW w:w="79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79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78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96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82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54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62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9" w:hRule="exact"/>
          <w:jc w:val="center"/>
        </w:trPr>
        <w:tc>
          <w:tcPr>
            <w:tcW w:w="675"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p>
        </w:tc>
        <w:tc>
          <w:tcPr>
            <w:tcW w:w="1087"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p>
        </w:tc>
        <w:tc>
          <w:tcPr>
            <w:tcW w:w="3621" w:type="dxa"/>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both"/>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2.重复申请</w:t>
            </w:r>
          </w:p>
        </w:tc>
        <w:tc>
          <w:tcPr>
            <w:tcW w:w="79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79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78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96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82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54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62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9" w:hRule="exact"/>
          <w:jc w:val="center"/>
        </w:trPr>
        <w:tc>
          <w:tcPr>
            <w:tcW w:w="675"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p>
        </w:tc>
        <w:tc>
          <w:tcPr>
            <w:tcW w:w="1087"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p>
        </w:tc>
        <w:tc>
          <w:tcPr>
            <w:tcW w:w="3621" w:type="dxa"/>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both"/>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3.要求提供公开出版物</w:t>
            </w:r>
          </w:p>
        </w:tc>
        <w:tc>
          <w:tcPr>
            <w:tcW w:w="79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79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78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96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82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54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62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7" w:hRule="exact"/>
          <w:jc w:val="center"/>
        </w:trPr>
        <w:tc>
          <w:tcPr>
            <w:tcW w:w="675"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p>
        </w:tc>
        <w:tc>
          <w:tcPr>
            <w:tcW w:w="1087"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p>
        </w:tc>
        <w:tc>
          <w:tcPr>
            <w:tcW w:w="3621" w:type="dxa"/>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both"/>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4.无正当理由大量反复申请</w:t>
            </w:r>
          </w:p>
        </w:tc>
        <w:tc>
          <w:tcPr>
            <w:tcW w:w="79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79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78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96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82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54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62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75"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p>
        </w:tc>
        <w:tc>
          <w:tcPr>
            <w:tcW w:w="1087"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p>
        </w:tc>
        <w:tc>
          <w:tcPr>
            <w:tcW w:w="362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5.要求行政机关确认或重新出具已获取信息</w:t>
            </w:r>
          </w:p>
        </w:tc>
        <w:tc>
          <w:tcPr>
            <w:tcW w:w="79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79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78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96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82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54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62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75"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p>
        </w:tc>
        <w:tc>
          <w:tcPr>
            <w:tcW w:w="1087" w:type="dxa"/>
            <w:vMerge w:val="restart"/>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（六）其他处理</w:t>
            </w:r>
          </w:p>
        </w:tc>
        <w:tc>
          <w:tcPr>
            <w:tcW w:w="362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105" w:leftChars="50"/>
              <w:jc w:val="both"/>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1.申请人无正当理由逾期不补正、行政机关不再处理其政府信息公开申请</w:t>
            </w:r>
          </w:p>
        </w:tc>
        <w:tc>
          <w:tcPr>
            <w:tcW w:w="79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79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78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96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82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54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62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75"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p>
        </w:tc>
        <w:tc>
          <w:tcPr>
            <w:tcW w:w="1087"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p>
        </w:tc>
        <w:tc>
          <w:tcPr>
            <w:tcW w:w="362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105" w:leftChars="50"/>
              <w:jc w:val="both"/>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2.申请人逾期未按收费通知要求缴纳费用、行政机关不再处理其政府信息公开申请</w:t>
            </w:r>
          </w:p>
        </w:tc>
        <w:tc>
          <w:tcPr>
            <w:tcW w:w="79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79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78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96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82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54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62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75"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p>
        </w:tc>
        <w:tc>
          <w:tcPr>
            <w:tcW w:w="1087"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p>
        </w:tc>
        <w:tc>
          <w:tcPr>
            <w:tcW w:w="362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80" w:lineRule="exact"/>
              <w:ind w:left="105" w:leftChars="50"/>
              <w:jc w:val="both"/>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3.其他</w:t>
            </w:r>
          </w:p>
        </w:tc>
        <w:tc>
          <w:tcPr>
            <w:tcW w:w="79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79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78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96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82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54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62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75"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p>
        </w:tc>
        <w:tc>
          <w:tcPr>
            <w:tcW w:w="4708" w:type="dxa"/>
            <w:gridSpan w:val="2"/>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（七）总计</w:t>
            </w:r>
          </w:p>
        </w:tc>
        <w:tc>
          <w:tcPr>
            <w:tcW w:w="79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79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78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96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82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54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62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383" w:type="dxa"/>
            <w:gridSpan w:val="3"/>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四、结转下年度继续办理</w:t>
            </w:r>
          </w:p>
        </w:tc>
        <w:tc>
          <w:tcPr>
            <w:tcW w:w="79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79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78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96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825"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540"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c>
          <w:tcPr>
            <w:tcW w:w="62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Arial" w:cs="Times New Roman"/>
                <w:b w:val="0"/>
                <w:bCs w:val="0"/>
                <w:color w:val="000000" w:themeColor="text1"/>
                <w:sz w:val="24"/>
                <w:szCs w:val="24"/>
                <w:lang w:val="en-US" w:eastAsia="zh-CN"/>
                <w14:textFill>
                  <w14:solidFill>
                    <w14:schemeClr w14:val="tx1"/>
                  </w14:solidFill>
                </w14:textFill>
              </w:rPr>
              <w:t>0</w:t>
            </w:r>
          </w:p>
        </w:tc>
      </w:tr>
    </w:tbl>
    <w:p>
      <w:pPr>
        <w:rPr>
          <w:rFonts w:hint="eastAsia" w:ascii="Times New Roman" w:hAnsi="Times New Roman" w:eastAsia="黑体" w:cs="黑体"/>
          <w:b w:val="0"/>
          <w:bCs/>
          <w:i w:val="0"/>
          <w:caps w:val="0"/>
          <w:color w:val="000000" w:themeColor="text1"/>
          <w:spacing w:val="0"/>
          <w:kern w:val="0"/>
          <w:sz w:val="32"/>
          <w:szCs w:val="32"/>
          <w:shd w:val="clear" w:fill="FFFFFF"/>
          <w:lang w:val="en-US" w:eastAsia="zh-CN" w:bidi="ar"/>
          <w14:textFill>
            <w14:solidFill>
              <w14:schemeClr w14:val="tx1"/>
            </w14:solidFill>
          </w14:textFill>
        </w:rPr>
      </w:pPr>
    </w:p>
    <w:p>
      <w:pPr>
        <w:rPr>
          <w:rFonts w:hint="eastAsia" w:ascii="Times New Roman" w:hAnsi="Times New Roman" w:eastAsia="黑体" w:cs="黑体"/>
          <w:b w:val="0"/>
          <w:bCs/>
          <w:i w:val="0"/>
          <w:caps w:val="0"/>
          <w:color w:val="000000" w:themeColor="text1"/>
          <w:spacing w:val="0"/>
          <w:kern w:val="0"/>
          <w:sz w:val="32"/>
          <w:szCs w:val="32"/>
          <w:shd w:val="clear" w:fill="FFFFFF"/>
          <w:lang w:val="en-US" w:eastAsia="zh-CN" w:bidi="ar"/>
          <w14:textFill>
            <w14:solidFill>
              <w14:schemeClr w14:val="tx1"/>
            </w14:solidFill>
          </w14:textFill>
        </w:rPr>
      </w:pPr>
    </w:p>
    <w:p>
      <w:pPr>
        <w:rPr>
          <w:rFonts w:hint="eastAsia" w:ascii="Times New Roman" w:hAnsi="Times New Roman" w:eastAsia="黑体" w:cs="黑体"/>
          <w:b w:val="0"/>
          <w:bCs/>
          <w:i w:val="0"/>
          <w:caps w:val="0"/>
          <w:color w:val="000000" w:themeColor="text1"/>
          <w:spacing w:val="0"/>
          <w:kern w:val="0"/>
          <w:sz w:val="32"/>
          <w:szCs w:val="32"/>
          <w:shd w:val="clear" w:fill="FFFFFF"/>
          <w:lang w:val="en-US" w:eastAsia="zh-CN" w:bidi="ar"/>
          <w14:textFill>
            <w14:solidFill>
              <w14:schemeClr w14:val="tx1"/>
            </w14:solidFill>
          </w14:textFill>
        </w:rPr>
      </w:pPr>
    </w:p>
    <w:p>
      <w:pPr>
        <w:rPr>
          <w:rFonts w:hint="eastAsia" w:ascii="Times New Roman" w:hAnsi="Times New Roman" w:eastAsia="黑体" w:cs="黑体"/>
          <w:b w:val="0"/>
          <w:bCs/>
          <w:i w:val="0"/>
          <w:caps w:val="0"/>
          <w:color w:val="000000" w:themeColor="text1"/>
          <w:spacing w:val="0"/>
          <w:kern w:val="0"/>
          <w:sz w:val="32"/>
          <w:szCs w:val="32"/>
          <w:shd w:val="clear" w:fill="FFFFFF"/>
          <w:lang w:val="en-US" w:eastAsia="zh-CN" w:bidi="ar"/>
          <w14:textFill>
            <w14:solidFill>
              <w14:schemeClr w14:val="tx1"/>
            </w14:solidFill>
          </w14:textFill>
        </w:rPr>
      </w:pPr>
    </w:p>
    <w:p>
      <w:pPr>
        <w:rPr>
          <w:rFonts w:hint="eastAsia" w:ascii="Times New Roman" w:hAnsi="Times New Roman" w:eastAsia="黑体" w:cs="黑体"/>
          <w:b w:val="0"/>
          <w:bCs/>
          <w:i w:val="0"/>
          <w:caps w:val="0"/>
          <w:color w:val="000000" w:themeColor="text1"/>
          <w:spacing w:val="0"/>
          <w:kern w:val="0"/>
          <w:sz w:val="32"/>
          <w:szCs w:val="32"/>
          <w:shd w:val="clear" w:fill="FFFFFF"/>
          <w:lang w:val="en-US" w:eastAsia="zh-CN" w:bidi="ar"/>
          <w14:textFill>
            <w14:solidFill>
              <w14:schemeClr w14:val="tx1"/>
            </w14:solidFill>
          </w14:textFill>
        </w:rPr>
      </w:pPr>
    </w:p>
    <w:p>
      <w:pPr>
        <w:rPr>
          <w:rFonts w:hint="eastAsia" w:ascii="Times New Roman" w:hAnsi="Times New Roman" w:eastAsia="黑体" w:cs="黑体"/>
          <w:b w:val="0"/>
          <w:bCs/>
          <w:i w:val="0"/>
          <w:caps w:val="0"/>
          <w:color w:val="000000" w:themeColor="text1"/>
          <w:spacing w:val="0"/>
          <w:kern w:val="0"/>
          <w:sz w:val="32"/>
          <w:szCs w:val="32"/>
          <w:shd w:val="clear" w:fill="FFFFFF"/>
          <w:lang w:val="en-US" w:eastAsia="zh-CN" w:bidi="ar"/>
          <w14:textFill>
            <w14:solidFill>
              <w14:schemeClr w14:val="tx1"/>
            </w14:solidFill>
          </w14:textFill>
        </w:rPr>
      </w:pPr>
    </w:p>
    <w:p>
      <w:pPr>
        <w:rPr>
          <w:rFonts w:hint="eastAsia" w:ascii="Times New Roman" w:hAnsi="Times New Roman" w:eastAsia="黑体" w:cs="黑体"/>
          <w:b w:val="0"/>
          <w:bCs/>
          <w:i w:val="0"/>
          <w:caps w:val="0"/>
          <w:color w:val="000000" w:themeColor="text1"/>
          <w:spacing w:val="0"/>
          <w:kern w:val="0"/>
          <w:sz w:val="32"/>
          <w:szCs w:val="32"/>
          <w:shd w:val="clear" w:fill="FFFFFF"/>
          <w:lang w:val="en-US" w:eastAsia="zh-CN" w:bidi="ar"/>
          <w14:textFill>
            <w14:solidFill>
              <w14:schemeClr w14:val="tx1"/>
            </w14:solidFill>
          </w14:textFill>
        </w:rPr>
      </w:pPr>
    </w:p>
    <w:p>
      <w:pPr>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s="黑体"/>
          <w:b w:val="0"/>
          <w:bCs/>
          <w:i w:val="0"/>
          <w:caps w:val="0"/>
          <w:color w:val="000000" w:themeColor="text1"/>
          <w:spacing w:val="0"/>
          <w:kern w:val="0"/>
          <w:sz w:val="32"/>
          <w:szCs w:val="32"/>
          <w:shd w:val="clear" w:fill="FFFFFF"/>
          <w:lang w:val="en-US" w:eastAsia="zh-CN" w:bidi="ar"/>
          <w14:textFill>
            <w14:solidFill>
              <w14:schemeClr w14:val="tx1"/>
            </w14:solidFill>
          </w14:textFill>
        </w:rPr>
        <w:t>四、政府信息公开行政复议、行政诉讼情况</w:t>
      </w:r>
    </w:p>
    <w:tbl>
      <w:tblPr>
        <w:tblStyle w:val="3"/>
        <w:tblW w:w="86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25"/>
        <w:gridCol w:w="600"/>
        <w:gridCol w:w="581"/>
        <w:gridCol w:w="525"/>
        <w:gridCol w:w="420"/>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2651"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80" w:lineRule="exact"/>
              <w:ind w:left="105" w:leftChars="50"/>
              <w:jc w:val="both"/>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80" w:lineRule="exact"/>
              <w:ind w:left="105" w:leftChars="50"/>
              <w:jc w:val="both"/>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525"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80" w:lineRule="exact"/>
              <w:ind w:left="105" w:leftChars="50"/>
              <w:jc w:val="both"/>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结果</w:t>
            </w:r>
          </w:p>
          <w:p>
            <w:pPr>
              <w:keepNext w:val="0"/>
              <w:keepLines w:val="0"/>
              <w:pageBreakBefore w:val="0"/>
              <w:widowControl w:val="0"/>
              <w:kinsoku/>
              <w:wordWrap/>
              <w:overflowPunct/>
              <w:topLinePunct w:val="0"/>
              <w:autoSpaceDE/>
              <w:autoSpaceDN/>
              <w:bidi w:val="0"/>
              <w:adjustRightInd w:val="0"/>
              <w:snapToGrid w:val="0"/>
              <w:spacing w:line="580" w:lineRule="exact"/>
              <w:ind w:left="105" w:leftChars="50"/>
              <w:jc w:val="both"/>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维持</w:t>
            </w:r>
          </w:p>
        </w:tc>
        <w:tc>
          <w:tcPr>
            <w:tcW w:w="60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80" w:lineRule="exact"/>
              <w:ind w:left="105" w:leftChars="50"/>
              <w:jc w:val="both"/>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结果纠正</w:t>
            </w:r>
          </w:p>
        </w:tc>
        <w:tc>
          <w:tcPr>
            <w:tcW w:w="581"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80" w:lineRule="exact"/>
              <w:ind w:left="105" w:leftChars="50"/>
              <w:jc w:val="both"/>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其他结果</w:t>
            </w:r>
          </w:p>
        </w:tc>
        <w:tc>
          <w:tcPr>
            <w:tcW w:w="525"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80" w:lineRule="exact"/>
              <w:ind w:left="105" w:leftChars="50"/>
              <w:jc w:val="both"/>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尚未</w:t>
            </w:r>
          </w:p>
          <w:p>
            <w:pPr>
              <w:keepNext w:val="0"/>
              <w:keepLines w:val="0"/>
              <w:pageBreakBefore w:val="0"/>
              <w:widowControl w:val="0"/>
              <w:kinsoku/>
              <w:wordWrap/>
              <w:overflowPunct/>
              <w:topLinePunct w:val="0"/>
              <w:autoSpaceDE/>
              <w:autoSpaceDN/>
              <w:bidi w:val="0"/>
              <w:adjustRightInd w:val="0"/>
              <w:snapToGrid w:val="0"/>
              <w:spacing w:line="580" w:lineRule="exact"/>
              <w:ind w:left="105" w:leftChars="50"/>
              <w:jc w:val="both"/>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审结</w:t>
            </w:r>
          </w:p>
        </w:tc>
        <w:tc>
          <w:tcPr>
            <w:tcW w:w="420"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80" w:lineRule="exact"/>
              <w:ind w:left="105" w:leftChars="50"/>
              <w:jc w:val="both"/>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总</w:t>
            </w:r>
          </w:p>
          <w:p>
            <w:pPr>
              <w:keepNext w:val="0"/>
              <w:keepLines w:val="0"/>
              <w:pageBreakBefore w:val="0"/>
              <w:widowControl w:val="0"/>
              <w:kinsoku/>
              <w:wordWrap/>
              <w:overflowPunct/>
              <w:topLinePunct w:val="0"/>
              <w:autoSpaceDE/>
              <w:autoSpaceDN/>
              <w:bidi w:val="0"/>
              <w:adjustRightInd w:val="0"/>
              <w:snapToGrid w:val="0"/>
              <w:spacing w:line="580" w:lineRule="exact"/>
              <w:ind w:left="105" w:leftChars="50"/>
              <w:jc w:val="both"/>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80" w:lineRule="exact"/>
              <w:ind w:left="105" w:leftChars="50"/>
              <w:jc w:val="both"/>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80" w:lineRule="exact"/>
              <w:ind w:left="105" w:leftChars="50"/>
              <w:jc w:val="both"/>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bookmarkStart w:id="9" w:name="_Hlk67039688"/>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80" w:lineRule="exact"/>
              <w:ind w:left="105" w:leftChars="50"/>
              <w:jc w:val="both"/>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p>
        </w:tc>
        <w:tc>
          <w:tcPr>
            <w:tcW w:w="60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80" w:lineRule="exact"/>
              <w:ind w:left="105" w:leftChars="50"/>
              <w:jc w:val="both"/>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p>
        </w:tc>
        <w:tc>
          <w:tcPr>
            <w:tcW w:w="581"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80" w:lineRule="exact"/>
              <w:ind w:left="105" w:leftChars="50"/>
              <w:jc w:val="both"/>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p>
        </w:tc>
        <w:tc>
          <w:tcPr>
            <w:tcW w:w="525"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80" w:lineRule="exact"/>
              <w:ind w:left="105" w:leftChars="50"/>
              <w:jc w:val="both"/>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p>
        </w:tc>
        <w:tc>
          <w:tcPr>
            <w:tcW w:w="420"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80" w:lineRule="exact"/>
              <w:ind w:left="105" w:leftChars="50"/>
              <w:jc w:val="both"/>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80" w:lineRule="exact"/>
              <w:ind w:left="105" w:leftChars="50"/>
              <w:jc w:val="both"/>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80" w:lineRule="exact"/>
              <w:ind w:left="105" w:leftChars="50"/>
              <w:jc w:val="both"/>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80" w:lineRule="exact"/>
              <w:ind w:left="105" w:leftChars="50"/>
              <w:jc w:val="both"/>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其他</w:t>
            </w:r>
          </w:p>
          <w:p>
            <w:pPr>
              <w:keepNext w:val="0"/>
              <w:keepLines w:val="0"/>
              <w:pageBreakBefore w:val="0"/>
              <w:widowControl w:val="0"/>
              <w:kinsoku/>
              <w:wordWrap/>
              <w:overflowPunct/>
              <w:topLinePunct w:val="0"/>
              <w:autoSpaceDE/>
              <w:autoSpaceDN/>
              <w:bidi w:val="0"/>
              <w:adjustRightInd w:val="0"/>
              <w:snapToGrid w:val="0"/>
              <w:spacing w:line="580" w:lineRule="exact"/>
              <w:ind w:left="105" w:leftChars="50"/>
              <w:jc w:val="both"/>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80" w:lineRule="exact"/>
              <w:ind w:left="105" w:leftChars="50"/>
              <w:jc w:val="both"/>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尚未</w:t>
            </w:r>
          </w:p>
          <w:p>
            <w:pPr>
              <w:keepNext w:val="0"/>
              <w:keepLines w:val="0"/>
              <w:pageBreakBefore w:val="0"/>
              <w:widowControl w:val="0"/>
              <w:kinsoku/>
              <w:wordWrap/>
              <w:overflowPunct/>
              <w:topLinePunct w:val="0"/>
              <w:autoSpaceDE/>
              <w:autoSpaceDN/>
              <w:bidi w:val="0"/>
              <w:adjustRightInd w:val="0"/>
              <w:snapToGrid w:val="0"/>
              <w:spacing w:line="580" w:lineRule="exact"/>
              <w:ind w:left="105" w:leftChars="50"/>
              <w:jc w:val="both"/>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80" w:lineRule="exact"/>
              <w:ind w:left="105" w:leftChars="50"/>
              <w:jc w:val="both"/>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80" w:lineRule="exact"/>
              <w:ind w:left="105" w:leftChars="50"/>
              <w:jc w:val="both"/>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80" w:lineRule="exact"/>
              <w:ind w:left="105" w:leftChars="50"/>
              <w:jc w:val="both"/>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结果</w:t>
            </w:r>
          </w:p>
          <w:p>
            <w:pPr>
              <w:keepNext w:val="0"/>
              <w:keepLines w:val="0"/>
              <w:pageBreakBefore w:val="0"/>
              <w:widowControl w:val="0"/>
              <w:kinsoku/>
              <w:wordWrap/>
              <w:overflowPunct/>
              <w:topLinePunct w:val="0"/>
              <w:autoSpaceDE/>
              <w:autoSpaceDN/>
              <w:bidi w:val="0"/>
              <w:adjustRightInd w:val="0"/>
              <w:snapToGrid w:val="0"/>
              <w:spacing w:line="580" w:lineRule="exact"/>
              <w:ind w:left="105" w:leftChars="50"/>
              <w:jc w:val="both"/>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80" w:lineRule="exact"/>
              <w:ind w:left="105" w:leftChars="50"/>
              <w:jc w:val="both"/>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其他</w:t>
            </w:r>
          </w:p>
          <w:p>
            <w:pPr>
              <w:keepNext w:val="0"/>
              <w:keepLines w:val="0"/>
              <w:pageBreakBefore w:val="0"/>
              <w:widowControl w:val="0"/>
              <w:kinsoku/>
              <w:wordWrap/>
              <w:overflowPunct/>
              <w:topLinePunct w:val="0"/>
              <w:autoSpaceDE/>
              <w:autoSpaceDN/>
              <w:bidi w:val="0"/>
              <w:adjustRightInd w:val="0"/>
              <w:snapToGrid w:val="0"/>
              <w:spacing w:line="580" w:lineRule="exact"/>
              <w:ind w:left="105" w:leftChars="50"/>
              <w:jc w:val="both"/>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80" w:lineRule="exact"/>
              <w:ind w:left="105" w:leftChars="50"/>
              <w:jc w:val="both"/>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80" w:lineRule="exact"/>
              <w:ind w:left="105" w:leftChars="50"/>
              <w:jc w:val="both"/>
              <w:textAlignment w:val="auto"/>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24"/>
                <w:szCs w:val="24"/>
                <w:lang w:val="en-US" w:eastAsia="zh-CN" w:bidi="ar-SA"/>
                <w14:textFill>
                  <w14:solidFill>
                    <w14:schemeClr w14:val="tx1"/>
                  </w14:solidFill>
                </w14:textFill>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简体"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方正仿宋简体" w:cs="Times New Roman"/>
                <w:b w:val="0"/>
                <w:bCs w:val="0"/>
                <w:color w:val="000000" w:themeColor="text1"/>
                <w:sz w:val="28"/>
                <w:szCs w:val="28"/>
                <w:lang w:val="en-US" w:eastAsia="zh-CN"/>
                <w14:textFill>
                  <w14:solidFill>
                    <w14:schemeClr w14:val="tx1"/>
                  </w14:solidFill>
                </w14:textFill>
              </w:rPr>
              <w:t>0</w:t>
            </w:r>
          </w:p>
        </w:tc>
        <w:tc>
          <w:tcPr>
            <w:tcW w:w="60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简体"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方正仿宋简体" w:cs="Times New Roman"/>
                <w:b w:val="0"/>
                <w:bCs w:val="0"/>
                <w:color w:val="000000" w:themeColor="text1"/>
                <w:sz w:val="28"/>
                <w:szCs w:val="28"/>
                <w:lang w:val="en-US" w:eastAsia="zh-CN"/>
                <w14:textFill>
                  <w14:solidFill>
                    <w14:schemeClr w14:val="tx1"/>
                  </w14:solidFill>
                </w14:textFill>
              </w:rPr>
              <w:t>0</w:t>
            </w:r>
          </w:p>
        </w:tc>
        <w:tc>
          <w:tcPr>
            <w:tcW w:w="58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简体"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方正仿宋简体" w:cs="Times New Roman"/>
                <w:b w:val="0"/>
                <w:bCs w:val="0"/>
                <w:color w:val="000000" w:themeColor="text1"/>
                <w:sz w:val="28"/>
                <w:szCs w:val="28"/>
                <w:lang w:val="en-US" w:eastAsia="zh-CN"/>
                <w14:textFill>
                  <w14:solidFill>
                    <w14:schemeClr w14:val="tx1"/>
                  </w14:solidFill>
                </w14:textFill>
              </w:rPr>
              <w:t>0</w:t>
            </w:r>
          </w:p>
        </w:tc>
        <w:tc>
          <w:tcPr>
            <w:tcW w:w="5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简体"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方正仿宋简体" w:cs="Times New Roman"/>
                <w:b w:val="0"/>
                <w:bCs w:val="0"/>
                <w:color w:val="000000" w:themeColor="text1"/>
                <w:sz w:val="28"/>
                <w:szCs w:val="28"/>
                <w:lang w:val="en-US" w:eastAsia="zh-CN"/>
                <w14:textFill>
                  <w14:solidFill>
                    <w14:schemeClr w14:val="tx1"/>
                  </w14:solidFill>
                </w14:textFill>
              </w:rPr>
              <w:t>0</w:t>
            </w:r>
          </w:p>
        </w:tc>
        <w:tc>
          <w:tcPr>
            <w:tcW w:w="4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简体"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方正仿宋简体" w:cs="Times New Roman"/>
                <w:b w:val="0"/>
                <w:bCs w:val="0"/>
                <w:color w:val="000000" w:themeColor="text1"/>
                <w:sz w:val="28"/>
                <w:szCs w:val="28"/>
                <w:lang w:val="en-US" w:eastAsia="zh-CN"/>
                <w14:textFill>
                  <w14:solidFill>
                    <w14:schemeClr w14:val="tx1"/>
                  </w14:solidFill>
                </w14:textFill>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简体"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方正仿宋简体" w:cs="Times New Roman"/>
                <w:b w:val="0"/>
                <w:bCs w:val="0"/>
                <w:color w:val="000000" w:themeColor="text1"/>
                <w:sz w:val="28"/>
                <w:szCs w:val="28"/>
                <w:lang w:val="en-US" w:eastAsia="zh-CN"/>
                <w14:textFill>
                  <w14:solidFill>
                    <w14:schemeClr w14:val="tx1"/>
                  </w14:solidFill>
                </w14:textFill>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简体"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方正仿宋简体" w:cs="Times New Roman"/>
                <w:b w:val="0"/>
                <w:bCs w:val="0"/>
                <w:color w:val="000000" w:themeColor="text1"/>
                <w:sz w:val="28"/>
                <w:szCs w:val="28"/>
                <w:lang w:val="en-US" w:eastAsia="zh-CN"/>
                <w14:textFill>
                  <w14:solidFill>
                    <w14:schemeClr w14:val="tx1"/>
                  </w14:solidFill>
                </w14:textFill>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简体"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方正仿宋简体" w:cs="Times New Roman"/>
                <w:b w:val="0"/>
                <w:bCs w:val="0"/>
                <w:color w:val="000000" w:themeColor="text1"/>
                <w:sz w:val="28"/>
                <w:szCs w:val="28"/>
                <w:lang w:val="en-US" w:eastAsia="zh-CN"/>
                <w14:textFill>
                  <w14:solidFill>
                    <w14:schemeClr w14:val="tx1"/>
                  </w14:solidFill>
                </w14:textFill>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简体"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方正仿宋简体" w:cs="Times New Roman"/>
                <w:b w:val="0"/>
                <w:bCs w:val="0"/>
                <w:color w:val="000000" w:themeColor="text1"/>
                <w:sz w:val="28"/>
                <w:szCs w:val="28"/>
                <w:lang w:val="en-US" w:eastAsia="zh-CN"/>
                <w14:textFill>
                  <w14:solidFill>
                    <w14:schemeClr w14:val="tx1"/>
                  </w14:solidFill>
                </w14:textFill>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简体"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方正仿宋简体" w:cs="Times New Roman"/>
                <w:b w:val="0"/>
                <w:bCs w:val="0"/>
                <w:color w:val="000000" w:themeColor="text1"/>
                <w:sz w:val="28"/>
                <w:szCs w:val="28"/>
                <w:lang w:val="en-US" w:eastAsia="zh-CN"/>
                <w14:textFill>
                  <w14:solidFill>
                    <w14:schemeClr w14:val="tx1"/>
                  </w14:solidFill>
                </w14:textFill>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简体"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方正仿宋简体" w:cs="Times New Roman"/>
                <w:b w:val="0"/>
                <w:bCs w:val="0"/>
                <w:color w:val="000000" w:themeColor="text1"/>
                <w:sz w:val="28"/>
                <w:szCs w:val="28"/>
                <w:lang w:val="en-US" w:eastAsia="zh-CN"/>
                <w14:textFill>
                  <w14:solidFill>
                    <w14:schemeClr w14:val="tx1"/>
                  </w14:solidFill>
                </w14:textFill>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简体"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方正仿宋简体" w:cs="Times New Roman"/>
                <w:b w:val="0"/>
                <w:bCs w:val="0"/>
                <w:color w:val="000000" w:themeColor="text1"/>
                <w:sz w:val="28"/>
                <w:szCs w:val="28"/>
                <w:lang w:val="en-US" w:eastAsia="zh-CN"/>
                <w14:textFill>
                  <w14:solidFill>
                    <w14:schemeClr w14:val="tx1"/>
                  </w14:solidFill>
                </w14:textFill>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简体"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方正仿宋简体" w:cs="Times New Roman"/>
                <w:b w:val="0"/>
                <w:bCs w:val="0"/>
                <w:color w:val="000000" w:themeColor="text1"/>
                <w:sz w:val="28"/>
                <w:szCs w:val="28"/>
                <w:lang w:val="en-US" w:eastAsia="zh-CN"/>
                <w14:textFill>
                  <w14:solidFill>
                    <w14:schemeClr w14:val="tx1"/>
                  </w14:solidFill>
                </w14:textFill>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简体"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方正仿宋简体" w:cs="Times New Roman"/>
                <w:b w:val="0"/>
                <w:bCs w:val="0"/>
                <w:color w:val="000000" w:themeColor="text1"/>
                <w:sz w:val="28"/>
                <w:szCs w:val="28"/>
                <w:lang w:val="en-US" w:eastAsia="zh-CN"/>
                <w14:textFill>
                  <w14:solidFill>
                    <w14:schemeClr w14:val="tx1"/>
                  </w14:solidFill>
                </w14:textFill>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仿宋简体"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方正仿宋简体" w:cs="Times New Roman"/>
                <w:b w:val="0"/>
                <w:bCs w:val="0"/>
                <w:color w:val="000000" w:themeColor="text1"/>
                <w:sz w:val="28"/>
                <w:szCs w:val="28"/>
                <w:lang w:val="en-US" w:eastAsia="zh-CN"/>
                <w14:textFill>
                  <w14:solidFill>
                    <w14:schemeClr w14:val="tx1"/>
                  </w14:solidFill>
                </w14:textFill>
              </w:rPr>
              <w:t>0</w:t>
            </w:r>
          </w:p>
        </w:tc>
      </w:tr>
    </w:tbl>
    <w:p>
      <w:pPr>
        <w:widowControl/>
        <w:jc w:val="left"/>
        <w:rPr>
          <w:rFonts w:hint="eastAsia" w:ascii="Times New Roman" w:hAnsi="Times New Roman" w:eastAsia="仿宋_GB2312" w:cs="Calibri"/>
          <w:color w:val="000000" w:themeColor="text1"/>
          <w:kern w:val="0"/>
          <w:szCs w:val="21"/>
          <w:lang w:val="en-US" w:eastAsia="zh-CN"/>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eastAsia" w:ascii="Times New Roman" w:hAnsi="Times New Roman" w:eastAsia="黑体" w:cs="黑体"/>
          <w:b w:val="0"/>
          <w:bCs/>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黑体" w:cs="黑体"/>
          <w:b w:val="0"/>
          <w:bCs/>
          <w:i w:val="0"/>
          <w:caps w:val="0"/>
          <w:color w:val="000000" w:themeColor="text1"/>
          <w:spacing w:val="0"/>
          <w:kern w:val="0"/>
          <w:sz w:val="32"/>
          <w:szCs w:val="32"/>
          <w:shd w:val="clear" w:fill="FFFFFF"/>
          <w:lang w:val="en-US" w:eastAsia="zh-CN" w:bidi="ar"/>
          <w14:textFill>
            <w14:solidFill>
              <w14:schemeClr w14:val="tx1"/>
            </w14:solidFill>
          </w14:textFill>
        </w:rPr>
        <w:t>五、存在的主要问题及改进情况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eastAsia" w:ascii="Times New Roman" w:hAnsi="Times New Roman" w:eastAsia="方正楷体简体" w:cs="方正楷体简体"/>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楷体简体" w:cs="方正楷体简体"/>
          <w:b w:val="0"/>
          <w:bCs w:val="0"/>
          <w:color w:val="000000" w:themeColor="text1"/>
          <w:kern w:val="2"/>
          <w:sz w:val="32"/>
          <w:szCs w:val="32"/>
          <w:lang w:val="en-US" w:eastAsia="zh-CN" w:bidi="ar-SA"/>
          <w14:textFill>
            <w14:solidFill>
              <w14:schemeClr w14:val="tx1"/>
            </w14:solidFill>
          </w14:textFill>
        </w:rPr>
        <w:t>（一）存在的主要问题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eastAsia" w:ascii="Times New Roman" w:hAnsi="Times New Roman" w:eastAsia="方正仿宋简体" w:cs="仿宋_GB2312"/>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32"/>
          <w:szCs w:val="32"/>
          <w:lang w:val="en-US" w:eastAsia="zh-CN" w:bidi="ar-SA"/>
          <w14:textFill>
            <w14:solidFill>
              <w14:schemeClr w14:val="tx1"/>
            </w14:solidFill>
          </w14:textFill>
        </w:rPr>
        <w:t>2022年我局政务公开工作取得一定成绩，但同时也存在一些不足。一是部分公开信息中存在敏感词、表述不当的问题。二是政务公开部分栏目公开信息数量较少，公开发布的信息质量需进一步提高，公开时效有待进一步加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eastAsia" w:ascii="Times New Roman" w:hAnsi="Times New Roman" w:eastAsia="方正楷体简体" w:cs="方正楷体简体"/>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楷体简体" w:cs="方正楷体简体"/>
          <w:b w:val="0"/>
          <w:bCs w:val="0"/>
          <w:color w:val="000000" w:themeColor="text1"/>
          <w:kern w:val="2"/>
          <w:sz w:val="32"/>
          <w:szCs w:val="32"/>
          <w:lang w:val="en-US" w:eastAsia="zh-CN" w:bidi="ar-SA"/>
          <w14:textFill>
            <w14:solidFill>
              <w14:schemeClr w14:val="tx1"/>
            </w14:solidFill>
          </w14:textFill>
        </w:rPr>
        <w:t>（二）改进情况：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eastAsia" w:ascii="Times New Roman" w:hAnsi="Times New Roman" w:eastAsia="方正仿宋简体" w:cs="仿宋_GB2312"/>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32"/>
          <w:szCs w:val="32"/>
          <w:lang w:val="en-US" w:eastAsia="zh-CN" w:bidi="ar-SA"/>
          <w14:textFill>
            <w14:solidFill>
              <w14:schemeClr w14:val="tx1"/>
            </w14:solidFill>
          </w14:textFill>
        </w:rPr>
        <w:t>一是建立“发布前审核+发布后巡检”机制。严格落实信息发布三级审核制，对公开的所有信息执行“先审查、后公开”制度，做到“凡公开必审查”“一文一审查”，确保信息内容准确、表述规范。加强对发布内容的日常巡检，对发现的内容安全问题及时进行整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eastAsia" w:ascii="Times New Roman" w:hAnsi="Times New Roman" w:eastAsia="方正仿宋简体" w:cs="仿宋_GB2312"/>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32"/>
          <w:szCs w:val="32"/>
          <w:lang w:val="en-US" w:eastAsia="zh-CN" w:bidi="ar-SA"/>
          <w14:textFill>
            <w14:solidFill>
              <w14:schemeClr w14:val="tx1"/>
            </w14:solidFill>
          </w14:textFill>
        </w:rPr>
        <w:t>二是积极开展政府信息公开业务培训。对信息公开范围、公开内容、公开规范及公开要求等开展针对性学习，增强全局工作人员对政府信息公开工作重要性的认识；对主动公开内容进行分类细化，进一步明确相关科室职责及工作要求，加强对政务信息的公开力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eastAsia" w:ascii="Times New Roman" w:hAnsi="Times New Roman" w:eastAsia="黑体" w:cs="黑体"/>
          <w:b w:val="0"/>
          <w:bCs/>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黑体" w:cs="黑体"/>
          <w:b w:val="0"/>
          <w:bCs/>
          <w:i w:val="0"/>
          <w:caps w:val="0"/>
          <w:color w:val="000000" w:themeColor="text1"/>
          <w:spacing w:val="0"/>
          <w:kern w:val="0"/>
          <w:sz w:val="32"/>
          <w:szCs w:val="32"/>
          <w:shd w:val="clear" w:fill="FFFFFF"/>
          <w:lang w:val="en-US" w:eastAsia="zh-CN" w:bidi="ar"/>
          <w14:textFill>
            <w14:solidFill>
              <w14:schemeClr w14:val="tx1"/>
            </w14:solidFill>
          </w14:textFill>
        </w:rPr>
        <w:t>六、其他需要报告的事项</w:t>
      </w:r>
    </w:p>
    <w:p>
      <w:pPr>
        <w:keepNext w:val="0"/>
        <w:keepLines w:val="0"/>
        <w:pageBreakBefore w:val="0"/>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方正楷体简体" w:cs="方正楷体简体"/>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楷体简体" w:cs="方正楷体简体"/>
          <w:b w:val="0"/>
          <w:bCs w:val="0"/>
          <w:color w:val="000000" w:themeColor="text1"/>
          <w:kern w:val="2"/>
          <w:sz w:val="32"/>
          <w:szCs w:val="32"/>
          <w:lang w:val="en-US" w:eastAsia="zh-CN" w:bidi="ar-SA"/>
          <w14:textFill>
            <w14:solidFill>
              <w14:schemeClr w14:val="tx1"/>
            </w14:solidFill>
          </w14:textFill>
        </w:rPr>
        <w:t>（一）政府信息处理费收费情况</w:t>
      </w:r>
    </w:p>
    <w:p>
      <w:pPr>
        <w:keepNext w:val="0"/>
        <w:keepLines w:val="0"/>
        <w:pageBreakBefore w:val="0"/>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方正仿宋简体" w:cs="仿宋_GB2312"/>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lang w:val="en-US" w:eastAsia="zh-CN" w:bidi="ar-SA"/>
          <w14:textFill>
            <w14:solidFill>
              <w14:schemeClr w14:val="tx1"/>
            </w14:solidFill>
          </w14:textFill>
        </w:rPr>
        <w:t> </w:t>
      </w:r>
      <w:r>
        <w:rPr>
          <w:rFonts w:hint="eastAsia" w:ascii="Times New Roman" w:hAnsi="Times New Roman" w:eastAsia="方正仿宋简体" w:cs="仿宋_GB2312"/>
          <w:b w:val="0"/>
          <w:bCs w:val="0"/>
          <w:color w:val="000000" w:themeColor="text1"/>
          <w:kern w:val="2"/>
          <w:sz w:val="32"/>
          <w:szCs w:val="32"/>
          <w:lang w:val="en-US" w:eastAsia="zh-CN" w:bidi="ar-SA"/>
          <w14:textFill>
            <w14:solidFill>
              <w14:schemeClr w14:val="tx1"/>
            </w14:solidFill>
          </w14:textFill>
        </w:rPr>
        <w:t>按照《国务院办公厅关于印发〈政府信息公开信息处理费管理办法〉的通知》（国办函〔2020〕109号）规定的按件、按量收费标准，本年度市科技局没有产生信息公开处理费。</w:t>
      </w:r>
    </w:p>
    <w:p>
      <w:pPr>
        <w:keepNext w:val="0"/>
        <w:keepLines w:val="0"/>
        <w:pageBreakBefore w:val="0"/>
        <w:numPr>
          <w:numId w:val="0"/>
        </w:numPr>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方正楷体简体" w:cs="方正楷体简体"/>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楷体简体" w:cs="方正楷体简体"/>
          <w:b w:val="0"/>
          <w:bCs w:val="0"/>
          <w:color w:val="000000" w:themeColor="text1"/>
          <w:kern w:val="2"/>
          <w:sz w:val="32"/>
          <w:szCs w:val="32"/>
          <w:lang w:val="en-US" w:eastAsia="zh-CN" w:bidi="ar-SA"/>
          <w14:textFill>
            <w14:solidFill>
              <w14:schemeClr w14:val="tx1"/>
            </w14:solidFill>
          </w14:textFill>
        </w:rPr>
        <w:t>（二）落实上级年度政务公开工作要点情况</w:t>
      </w:r>
    </w:p>
    <w:p>
      <w:pPr>
        <w:keepNext w:val="0"/>
        <w:keepLines w:val="0"/>
        <w:pageBreakBefore w:val="0"/>
        <w:numPr>
          <w:numId w:val="0"/>
        </w:numPr>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方正仿宋简体" w:cs="仿宋_GB2312"/>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32"/>
          <w:szCs w:val="32"/>
          <w:lang w:val="en-US" w:eastAsia="zh-CN" w:bidi="ar-SA"/>
          <w14:textFill>
            <w14:solidFill>
              <w14:schemeClr w14:val="tx1"/>
            </w14:solidFill>
          </w14:textFill>
        </w:rPr>
        <w:t>我局严格按照上级关于政务信息公开工作的要求，结合全市科技创新工作实际，明确任务分工，各项工作落实到人，尤其是对于高新技术企业申报、各项科技计划项目申报、科技创新平台申报等重点业务工作第一时间做好信息公开，提升企业知晓度。</w:t>
      </w:r>
    </w:p>
    <w:p>
      <w:pPr>
        <w:keepNext w:val="0"/>
        <w:keepLines w:val="0"/>
        <w:pageBreakBefore w:val="0"/>
        <w:numPr>
          <w:numId w:val="0"/>
        </w:numPr>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方正楷体简体" w:cs="方正楷体简体"/>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楷体简体" w:cs="方正楷体简体"/>
          <w:b w:val="0"/>
          <w:bCs w:val="0"/>
          <w:color w:val="000000" w:themeColor="text1"/>
          <w:kern w:val="2"/>
          <w:sz w:val="32"/>
          <w:szCs w:val="32"/>
          <w:lang w:val="en-US" w:eastAsia="zh-CN" w:bidi="ar-SA"/>
          <w14:textFill>
            <w14:solidFill>
              <w14:schemeClr w14:val="tx1"/>
            </w14:solidFill>
          </w14:textFill>
        </w:rPr>
        <w:t>（三）建议提案办理结果公开情况</w:t>
      </w:r>
    </w:p>
    <w:p>
      <w:pPr>
        <w:keepNext w:val="0"/>
        <w:keepLines w:val="0"/>
        <w:pageBreakBefore w:val="0"/>
        <w:numPr>
          <w:numId w:val="0"/>
        </w:numPr>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方正仿宋简体" w:cs="仿宋_GB2312"/>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32"/>
          <w:szCs w:val="32"/>
          <w:lang w:val="en-US" w:eastAsia="zh-CN" w:bidi="ar-SA"/>
          <w14:textFill>
            <w14:solidFill>
              <w14:schemeClr w14:val="tx1"/>
            </w14:solidFill>
          </w14:textFill>
        </w:rPr>
        <w:t>2022年，我局承办市政协十五届一次会议交办的政策提案1件，并及时在建议提案办理栏目公开答复意见</w:t>
      </w:r>
      <w:r>
        <w:rPr>
          <w:rFonts w:hint="eastAsia" w:ascii="Times New Roman" w:hAnsi="Times New Roman" w:eastAsia="方正仿宋简体" w:cs="仿宋_GB2312"/>
          <w:b w:val="0"/>
          <w:bCs w:val="0"/>
          <w:color w:val="000000" w:themeColor="text1"/>
          <w:kern w:val="2"/>
          <w:sz w:val="32"/>
          <w:szCs w:val="32"/>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default" w:ascii="Times New Roman" w:hAnsi="Times New Roman" w:eastAsia="方正楷体简体" w:cs="方正楷体简体"/>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楷体简体" w:cs="方正楷体简体"/>
          <w:b w:val="0"/>
          <w:bCs w:val="0"/>
          <w:color w:val="000000" w:themeColor="text1"/>
          <w:kern w:val="2"/>
          <w:sz w:val="32"/>
          <w:szCs w:val="32"/>
          <w:lang w:val="en-US" w:eastAsia="zh-CN" w:bidi="ar-SA"/>
          <w14:textFill>
            <w14:solidFill>
              <w14:schemeClr w14:val="tx1"/>
            </w14:solidFill>
          </w14:textFill>
        </w:rPr>
        <w:t>（四）2022</w:t>
      </w:r>
      <w:r>
        <w:rPr>
          <w:rFonts w:hint="default" w:ascii="Times New Roman" w:hAnsi="Times New Roman" w:eastAsia="方正楷体简体" w:cs="方正楷体简体"/>
          <w:b w:val="0"/>
          <w:bCs w:val="0"/>
          <w:color w:val="000000" w:themeColor="text1"/>
          <w:kern w:val="2"/>
          <w:sz w:val="32"/>
          <w:szCs w:val="32"/>
          <w:lang w:val="en-US" w:eastAsia="zh-CN" w:bidi="ar-SA"/>
          <w14:textFill>
            <w14:solidFill>
              <w14:schemeClr w14:val="tx1"/>
            </w14:solidFill>
          </w14:textFill>
        </w:rPr>
        <w:t>年度政务公开工作创新情况</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方正仿宋简体" w:cs="仿宋_GB2312"/>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32"/>
          <w:szCs w:val="32"/>
          <w:lang w:val="en-US" w:eastAsia="zh-CN" w:bidi="ar-SA"/>
          <w14:textFill>
            <w14:solidFill>
              <w14:schemeClr w14:val="tx1"/>
            </w14:solidFill>
          </w14:textFill>
        </w:rPr>
        <w:t>市科技局依托曲阜市门户网站“政务公开栏目”、市科技局网站和“曲阜科技”微信公众号，做好科技政策发布解读，畅通政企互通联络渠道。</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firstLineChars="200"/>
        <w:jc w:val="left"/>
        <w:textAlignment w:val="auto"/>
        <w:rPr>
          <w:rFonts w:hint="eastAsia" w:ascii="Times New Roman" w:hAnsi="Times New Roman" w:eastAsia="方正楷体简体" w:cs="方正楷体简体"/>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楷体简体" w:cs="方正楷体简体"/>
          <w:b w:val="0"/>
          <w:bCs w:val="0"/>
          <w:color w:val="000000" w:themeColor="text1"/>
          <w:kern w:val="2"/>
          <w:sz w:val="32"/>
          <w:szCs w:val="32"/>
          <w:lang w:val="en-US" w:eastAsia="zh-CN" w:bidi="ar-SA"/>
          <w14:textFill>
            <w14:solidFill>
              <w14:schemeClr w14:val="tx1"/>
            </w14:solidFill>
          </w14:textFill>
        </w:rPr>
        <w:t>（五）本年度信息公开工作年度报告数据统计需要说明的事项</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firstLineChars="200"/>
        <w:jc w:val="left"/>
        <w:textAlignment w:val="auto"/>
        <w:rPr>
          <w:rFonts w:hint="default" w:ascii="Times New Roman" w:hAnsi="Times New Roman" w:eastAsia="方正仿宋简体" w:cs="仿宋_GB2312"/>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仿宋_GB2312"/>
          <w:b w:val="0"/>
          <w:bCs w:val="0"/>
          <w:color w:val="000000" w:themeColor="text1"/>
          <w:kern w:val="2"/>
          <w:sz w:val="32"/>
          <w:szCs w:val="32"/>
          <w:lang w:val="en-US" w:eastAsia="zh-CN" w:bidi="ar-SA"/>
          <w14:textFill>
            <w14:solidFill>
              <w14:schemeClr w14:val="tx1"/>
            </w14:solidFill>
          </w14:textFill>
        </w:rPr>
        <w:t>无。</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firstLineChars="200"/>
        <w:jc w:val="left"/>
        <w:textAlignment w:val="auto"/>
        <w:rPr>
          <w:rFonts w:hint="default" w:ascii="Times New Roman" w:hAnsi="Times New Roman" w:eastAsia="方正楷体简体" w:cs="方正楷体简体"/>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楷体简体" w:cs="方正楷体简体"/>
          <w:b w:val="0"/>
          <w:bCs w:val="0"/>
          <w:color w:val="000000" w:themeColor="text1"/>
          <w:kern w:val="2"/>
          <w:sz w:val="32"/>
          <w:szCs w:val="32"/>
          <w:lang w:val="en-US" w:eastAsia="zh-CN" w:bidi="ar-SA"/>
          <w14:textFill>
            <w14:solidFill>
              <w14:schemeClr w14:val="tx1"/>
            </w14:solidFill>
          </w14:textFill>
        </w:rPr>
        <w:t>（六）本行政机关认为需要报告的其他事项</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firstLineChars="200"/>
        <w:jc w:val="left"/>
        <w:textAlignment w:val="auto"/>
        <w:rPr>
          <w:rFonts w:hint="default" w:ascii="Times New Roman" w:hAnsi="Times New Roman" w:eastAsia="方正仿宋简体" w:cs="仿宋_GB2312"/>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仿宋_GB2312"/>
          <w:b w:val="0"/>
          <w:bCs w:val="0"/>
          <w:color w:val="000000" w:themeColor="text1"/>
          <w:kern w:val="2"/>
          <w:sz w:val="32"/>
          <w:szCs w:val="32"/>
          <w:lang w:val="en-US" w:eastAsia="zh-CN" w:bidi="ar-SA"/>
          <w14:textFill>
            <w14:solidFill>
              <w14:schemeClr w14:val="tx1"/>
            </w14:solidFill>
          </w14:textFill>
        </w:rPr>
        <w:t>无。</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firstLineChars="200"/>
        <w:jc w:val="left"/>
        <w:textAlignment w:val="auto"/>
        <w:rPr>
          <w:rFonts w:hint="default" w:ascii="Times New Roman" w:hAnsi="Times New Roman" w:eastAsia="方正楷体简体" w:cs="方正楷体简体"/>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楷体简体" w:cs="方正楷体简体"/>
          <w:b w:val="0"/>
          <w:bCs w:val="0"/>
          <w:color w:val="000000" w:themeColor="text1"/>
          <w:kern w:val="2"/>
          <w:sz w:val="32"/>
          <w:szCs w:val="32"/>
          <w:lang w:val="en-US" w:eastAsia="zh-CN" w:bidi="ar-SA"/>
          <w14:textFill>
            <w14:solidFill>
              <w14:schemeClr w14:val="tx1"/>
            </w14:solidFill>
          </w14:textFill>
        </w:rPr>
        <w:t>（七）其他有关文件专门要求通过政府信息公开工作年度报告予以报告的事项</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firstLineChars="200"/>
        <w:jc w:val="left"/>
        <w:textAlignment w:val="auto"/>
        <w:rPr>
          <w:rFonts w:hint="default" w:ascii="Times New Roman" w:hAnsi="Times New Roman" w:eastAsia="方正仿宋简体" w:cs="仿宋_GB2312"/>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仿宋_GB2312"/>
          <w:b w:val="0"/>
          <w:bCs w:val="0"/>
          <w:color w:val="000000" w:themeColor="text1"/>
          <w:kern w:val="2"/>
          <w:sz w:val="32"/>
          <w:szCs w:val="32"/>
          <w:lang w:val="en-US" w:eastAsia="zh-CN" w:bidi="ar-SA"/>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简体" w:cs="方正仿宋简体"/>
          <w:b w:val="0"/>
          <w:bCs w:val="0"/>
          <w:color w:val="000000" w:themeColor="text1"/>
          <w:kern w:val="2"/>
          <w:sz w:val="32"/>
          <w:szCs w:val="3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简体" w:cs="方正仿宋简体"/>
          <w:b w:val="0"/>
          <w:bCs w:val="0"/>
          <w:color w:val="000000" w:themeColor="text1"/>
          <w:kern w:val="2"/>
          <w:sz w:val="32"/>
          <w:szCs w:val="3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right"/>
        <w:textAlignment w:val="auto"/>
        <w:rPr>
          <w:rFonts w:hint="default" w:ascii="Times New Roman" w:hAnsi="Times New Roman" w:eastAsia="方正仿宋简体" w:cs="仿宋_GB2312"/>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32"/>
          <w:szCs w:val="32"/>
          <w:lang w:val="en-US" w:eastAsia="zh-CN" w:bidi="ar-SA"/>
          <w14:textFill>
            <w14:solidFill>
              <w14:schemeClr w14:val="tx1"/>
            </w14:solidFill>
          </w14:textFill>
        </w:rPr>
        <w:t>曲阜市科学技术局</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right"/>
        <w:textAlignment w:val="auto"/>
        <w:rPr>
          <w:rFonts w:hint="default" w:ascii="Times New Roman" w:hAnsi="Times New Roman" w:eastAsia="方正仿宋简体" w:cs="仿宋_GB2312"/>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简体" w:cs="仿宋_GB2312"/>
          <w:b w:val="0"/>
          <w:bCs w:val="0"/>
          <w:color w:val="000000" w:themeColor="text1"/>
          <w:kern w:val="2"/>
          <w:sz w:val="32"/>
          <w:szCs w:val="32"/>
          <w:lang w:val="en-US" w:eastAsia="zh-CN" w:bidi="ar-SA"/>
          <w14:textFill>
            <w14:solidFill>
              <w14:schemeClr w14:val="tx1"/>
            </w14:solidFill>
          </w14:textFill>
        </w:rPr>
        <w:t>2023年1月18日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Arial Rounded MT Bold">
    <w:panose1 w:val="020F0704030504030204"/>
    <w:charset w:val="00"/>
    <w:family w:val="auto"/>
    <w:pitch w:val="default"/>
    <w:sig w:usb0="00000003" w:usb1="00000000" w:usb2="00000000" w:usb3="00000000" w:csb0="2000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auto"/>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AE252C"/>
    <w:multiLevelType w:val="singleLevel"/>
    <w:tmpl w:val="5AAE252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2YzQ4YjliMTczNjY3ZmE4MTNjMjE5ODNlZjFjZDUifQ=="/>
  </w:docVars>
  <w:rsids>
    <w:rsidRoot w:val="11AF18C8"/>
    <w:rsid w:val="0B460A68"/>
    <w:rsid w:val="0EE83D6C"/>
    <w:rsid w:val="11AF18C8"/>
    <w:rsid w:val="135E30B4"/>
    <w:rsid w:val="182A53D0"/>
    <w:rsid w:val="1A6A77C7"/>
    <w:rsid w:val="1CDA132C"/>
    <w:rsid w:val="1F43656C"/>
    <w:rsid w:val="32D723EC"/>
    <w:rsid w:val="4BE61701"/>
    <w:rsid w:val="522F14BF"/>
    <w:rsid w:val="59271B1E"/>
    <w:rsid w:val="592759D9"/>
    <w:rsid w:val="5B2D2ADB"/>
    <w:rsid w:val="5B5C4D58"/>
    <w:rsid w:val="5C255C89"/>
    <w:rsid w:val="6D655E33"/>
    <w:rsid w:val="6DEC3CB9"/>
    <w:rsid w:val="72E651DB"/>
    <w:rsid w:val="77181135"/>
    <w:rsid w:val="7A8E2DA8"/>
    <w:rsid w:val="7D003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1"/>
          <c:order val="0"/>
          <c:tx>
            <c:strRef>
              <c:f>Sheet1!$B$1</c:f>
              <c:strCache>
                <c:ptCount val="1"/>
                <c:pt idx="0">
                  <c:v>2022年市科技局通过各类媒体平台公开政务信息</c:v>
                </c:pt>
              </c:strCache>
            </c:strRef>
          </c:tx>
          <c:spPr>
            <a:solidFill>
              <a:schemeClr val="accent2"/>
            </a:solidFill>
            <a:ln>
              <a:noFill/>
            </a:ln>
            <a:effectLst/>
          </c:spPr>
          <c:invertIfNegative val="0"/>
          <c:dPt>
            <c:idx val="0"/>
            <c:invertIfNegative val="0"/>
            <c:bubble3D val="0"/>
            <c:spPr>
              <a:solidFill>
                <a:schemeClr val="accent2"/>
              </a:solidFill>
              <a:ln>
                <a:noFill/>
              </a:ln>
              <a:effectLst/>
            </c:spPr>
          </c:dPt>
          <c:dPt>
            <c:idx val="1"/>
            <c:invertIfNegative val="0"/>
            <c:bubble3D val="0"/>
            <c:spPr>
              <a:solidFill>
                <a:schemeClr val="accent6">
                  <a:lumMod val="75000"/>
                </a:schemeClr>
              </a:solidFill>
              <a:ln>
                <a:noFill/>
              </a:ln>
              <a:effectLst/>
            </c:spPr>
          </c:dPt>
          <c:dPt>
            <c:idx val="2"/>
            <c:invertIfNegative val="0"/>
            <c:bubble3D val="0"/>
            <c:spPr>
              <a:solidFill>
                <a:schemeClr val="accent1"/>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政务公开栏目</c:v>
                </c:pt>
                <c:pt idx="1">
                  <c:v>网站子站点</c:v>
                </c:pt>
                <c:pt idx="2">
                  <c:v>“曲阜科技”微信公众号</c:v>
                </c:pt>
              </c:strCache>
            </c:strRef>
          </c:cat>
          <c:val>
            <c:numRef>
              <c:f>Sheet1!$B$2:$B$4</c:f>
              <c:numCache>
                <c:formatCode>General</c:formatCode>
                <c:ptCount val="3"/>
                <c:pt idx="0">
                  <c:v>34</c:v>
                </c:pt>
                <c:pt idx="1">
                  <c:v>144</c:v>
                </c:pt>
                <c:pt idx="2">
                  <c:v>159</c:v>
                </c:pt>
              </c:numCache>
            </c:numRef>
          </c:val>
        </c:ser>
        <c:dLbls>
          <c:showLegendKey val="0"/>
          <c:showVal val="1"/>
          <c:showCatName val="0"/>
          <c:showSerName val="0"/>
          <c:showPercent val="0"/>
          <c:showBubbleSize val="0"/>
        </c:dLbls>
        <c:gapWidth val="219"/>
        <c:overlap val="-27"/>
        <c:axId val="541997503"/>
        <c:axId val="812628963"/>
      </c:barChart>
      <c:catAx>
        <c:axId val="54199750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2628963"/>
        <c:crosses val="autoZero"/>
        <c:auto val="1"/>
        <c:lblAlgn val="ctr"/>
        <c:lblOffset val="100"/>
        <c:noMultiLvlLbl val="0"/>
      </c:catAx>
      <c:valAx>
        <c:axId val="8126289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199750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2741</Words>
  <Characters>2850</Characters>
  <Lines>0</Lines>
  <Paragraphs>0</Paragraphs>
  <TotalTime>417</TotalTime>
  <ScaleCrop>false</ScaleCrop>
  <LinksUpToDate>false</LinksUpToDate>
  <CharactersWithSpaces>2852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2023-01-16T07:45:00Z</dcterms:created>
  <dc:creator>诗人与熊</dc:creator>
  <cp:lastModifiedBy>二毛</cp:lastModifiedBy>
  <cp:lastPrinted>2023-01-18T01:51:00Z</cp:lastPrinted>
  <dcterms:modified xsi:type="dcterms:W3CDTF">2023-02-13T08:36:22Z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E3126E2448D14419985F9312D35F96C8</vt:lpwstr>
  </property>
</Properties>
</file>