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BA1" w:rsidRPr="001B29E9" w:rsidRDefault="008D70FC">
      <w:pPr>
        <w:adjustRightInd w:val="0"/>
        <w:snapToGrid w:val="0"/>
        <w:spacing w:line="570" w:lineRule="exact"/>
        <w:jc w:val="center"/>
        <w:rPr>
          <w:rFonts w:ascii="方正小标宋简体" w:eastAsia="方正小标宋简体" w:hAnsi="方正小标宋简体" w:cs="方正小标宋简体"/>
          <w:sz w:val="44"/>
          <w:szCs w:val="44"/>
        </w:rPr>
      </w:pPr>
      <w:r w:rsidRPr="001B29E9">
        <w:rPr>
          <w:rFonts w:ascii="方正小标宋简体" w:eastAsia="方正小标宋简体" w:hAnsi="方正小标宋简体" w:cs="方正小标宋简体" w:hint="eastAsia"/>
          <w:sz w:val="44"/>
          <w:szCs w:val="44"/>
        </w:rPr>
        <w:t>曲阜市退役军人事务局</w:t>
      </w:r>
    </w:p>
    <w:p w:rsidR="00865BA1" w:rsidRPr="001B29E9" w:rsidRDefault="008D70FC">
      <w:pPr>
        <w:adjustRightInd w:val="0"/>
        <w:snapToGrid w:val="0"/>
        <w:spacing w:line="570" w:lineRule="exact"/>
        <w:jc w:val="center"/>
        <w:rPr>
          <w:rFonts w:ascii="方正小标宋简体" w:eastAsia="方正小标宋简体" w:hAnsi="方正小标宋简体" w:cs="方正小标宋简体"/>
          <w:sz w:val="44"/>
          <w:szCs w:val="44"/>
        </w:rPr>
      </w:pPr>
      <w:r w:rsidRPr="001B29E9">
        <w:rPr>
          <w:rFonts w:ascii="方正小标宋简体" w:eastAsia="方正小标宋简体" w:hAnsi="方正小标宋简体" w:cs="方正小标宋简体" w:hint="eastAsia"/>
          <w:sz w:val="44"/>
          <w:szCs w:val="44"/>
        </w:rPr>
        <w:t>2020年度政府信息公开工作年度报告</w:t>
      </w:r>
    </w:p>
    <w:p w:rsidR="00865BA1" w:rsidRPr="001B29E9" w:rsidRDefault="00865BA1">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sz w:val="32"/>
          <w:szCs w:val="32"/>
        </w:rPr>
      </w:pP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根据《中华人民共和国政府信息公开条例》（国务院令第711号，以下简称《条例》）和《国务院办公厅政府信息与政务公开办公室关于政府信息公开工作年度报告有关事项的通知》（国办公开办函〔2019〕60号）要求，现向社会公布2020年度曲阜市退役军人事务局信息公开工作年度报告。本年报包括总体情况、主动公开政府信息情况、收到和处理政府信息公开申请情况、政府信息公开行政复议及行政诉讼情况、存在的主要问题及改进情况、其它需要报告的事项六个部分。</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本年度报告中所列数据统计期限从2020年1月1日到12月31日止。本年度报告电子版可从“曲阜市人民政府网站”（www.qufu.gov.cn）下载。如对本年度报告有疑问，请与曲阜市退役军人事务局办公室联系（地址：曲阜市天官第街西首路南；邮编：273100；电话:0537-4498181；电子邮箱：qfstyjrswj01@ji.shandong.cn）。</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黑体" w:eastAsia="黑体" w:hAnsi="黑体" w:cs="黑体"/>
          <w:kern w:val="2"/>
          <w:sz w:val="32"/>
          <w:szCs w:val="32"/>
        </w:rPr>
      </w:pPr>
      <w:r w:rsidRPr="001B29E9">
        <w:rPr>
          <w:rFonts w:ascii="黑体" w:eastAsia="黑体" w:hAnsi="黑体" w:cs="黑体" w:hint="eastAsia"/>
          <w:kern w:val="2"/>
          <w:sz w:val="32"/>
          <w:szCs w:val="32"/>
        </w:rPr>
        <w:t>一、总体情况</w:t>
      </w:r>
    </w:p>
    <w:p w:rsidR="00865BA1" w:rsidRPr="001B29E9" w:rsidRDefault="008D70FC">
      <w:pPr>
        <w:widowControl/>
        <w:adjustRightInd w:val="0"/>
        <w:snapToGrid w:val="0"/>
        <w:spacing w:line="570" w:lineRule="exact"/>
        <w:ind w:firstLineChars="200" w:firstLine="643"/>
        <w:jc w:val="left"/>
        <w:rPr>
          <w:rFonts w:ascii="楷体" w:eastAsia="楷体" w:hAnsi="楷体" w:cs="楷体"/>
          <w:b/>
          <w:sz w:val="32"/>
        </w:rPr>
      </w:pPr>
      <w:r w:rsidRPr="001B29E9">
        <w:rPr>
          <w:rFonts w:ascii="楷体" w:eastAsia="楷体" w:hAnsi="楷体" w:cs="楷体" w:hint="eastAsia"/>
          <w:b/>
          <w:sz w:val="32"/>
        </w:rPr>
        <w:t>（一）概述</w:t>
      </w:r>
    </w:p>
    <w:p w:rsidR="00865BA1" w:rsidRPr="001B29E9" w:rsidRDefault="008D70FC">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退役军人事务局高度重视政府信息公开工作，把政府信息公开工作摆上重要日程，狠抓责任落实。为更好地提供政府信息公开服务，方便公民、法人和其他组织获得相关政府信息，成立了</w:t>
      </w:r>
      <w:r w:rsidRPr="001B29E9">
        <w:rPr>
          <w:rFonts w:ascii="仿宋_GB2312" w:eastAsia="仿宋_GB2312" w:hAnsi="仿宋_GB2312" w:cs="仿宋_GB2312" w:hint="eastAsia"/>
          <w:kern w:val="2"/>
          <w:sz w:val="32"/>
          <w:szCs w:val="32"/>
        </w:rPr>
        <w:lastRenderedPageBreak/>
        <w:t>由</w:t>
      </w:r>
      <w:r w:rsidR="008021D8" w:rsidRPr="001B29E9">
        <w:rPr>
          <w:rFonts w:ascii="仿宋_GB2312" w:eastAsia="仿宋_GB2312" w:hAnsi="仿宋_GB2312" w:cs="仿宋_GB2312" w:hint="eastAsia"/>
          <w:kern w:val="2"/>
          <w:sz w:val="32"/>
          <w:szCs w:val="32"/>
        </w:rPr>
        <w:t>局</w:t>
      </w:r>
      <w:r w:rsidRPr="001B29E9">
        <w:rPr>
          <w:rFonts w:ascii="仿宋_GB2312" w:eastAsia="仿宋_GB2312" w:hAnsi="仿宋_GB2312" w:cs="仿宋_GB2312" w:hint="eastAsia"/>
          <w:kern w:val="2"/>
          <w:sz w:val="32"/>
          <w:szCs w:val="32"/>
        </w:rPr>
        <w:t>党组书记、局长为组长，党组成员、副局长为副组长，各业务科室、局属事业单位负责人为成员的政府信息公开工作领导小组。明确了专门人员具体负责政府信息公开的日常工作，为政府信息公开工作的顺利开展提供了有力的保障。</w:t>
      </w:r>
    </w:p>
    <w:p w:rsidR="00865BA1" w:rsidRPr="001B29E9" w:rsidRDefault="008D70FC">
      <w:pPr>
        <w:widowControl/>
        <w:adjustRightInd w:val="0"/>
        <w:snapToGrid w:val="0"/>
        <w:spacing w:line="570" w:lineRule="exact"/>
        <w:ind w:firstLineChars="200" w:firstLine="643"/>
        <w:jc w:val="left"/>
        <w:rPr>
          <w:rFonts w:ascii="楷体" w:eastAsia="楷体" w:hAnsi="楷体" w:cs="楷体"/>
          <w:b/>
          <w:sz w:val="32"/>
        </w:rPr>
      </w:pPr>
      <w:r w:rsidRPr="001B29E9">
        <w:rPr>
          <w:rFonts w:ascii="楷体" w:eastAsia="楷体" w:hAnsi="楷体" w:cs="楷体" w:hint="eastAsia"/>
          <w:b/>
          <w:sz w:val="32"/>
        </w:rPr>
        <w:t>（二）主动公开情况</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我局深入贯彻落实《条例》和国家、省、市有关信息公开工作的要求，不断深化公开内容、完善规章制度、拓宽公开渠道、规范公开形式、加强公开监督检查。在丰富重点领域公开内容，主动公开各类政府信息，确保“应公开尽公开”。2020年，曲阜市退役军人事务局通过各类媒体平台发布信息共计222条，其中通过曲阜市门户网站政务公开栏目主动公开各类政府信息13条，占比5.86%；通过网站子点发布各类信息146条，占比65.77%；通过政务新媒体发布各类信息63条，占比28.38%。</w:t>
      </w:r>
    </w:p>
    <w:p w:rsidR="00865BA1" w:rsidRPr="001B29E9" w:rsidRDefault="008D70FC">
      <w:pPr>
        <w:widowControl/>
        <w:adjustRightInd w:val="0"/>
        <w:snapToGrid w:val="0"/>
        <w:jc w:val="center"/>
        <w:rPr>
          <w:rFonts w:ascii="仿宋_GB2312" w:eastAsia="仿宋_GB2312" w:hAnsi="仿宋_GB2312"/>
          <w:sz w:val="32"/>
        </w:rPr>
      </w:pPr>
      <w:r w:rsidRPr="001B29E9">
        <w:rPr>
          <w:rFonts w:ascii="仿宋_GB2312" w:eastAsia="仿宋_GB2312" w:hAnsi="仿宋_GB2312"/>
          <w:noProof/>
          <w:sz w:val="32"/>
        </w:rPr>
        <w:drawing>
          <wp:inline distT="0" distB="0" distL="0" distR="0">
            <wp:extent cx="3340735" cy="2506345"/>
            <wp:effectExtent l="19050" t="0" r="11616" b="8209"/>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65BA1" w:rsidRPr="001B29E9" w:rsidRDefault="008D70FC">
      <w:pPr>
        <w:widowControl/>
        <w:adjustRightInd w:val="0"/>
        <w:snapToGrid w:val="0"/>
        <w:spacing w:line="570" w:lineRule="exact"/>
        <w:ind w:firstLine="643"/>
        <w:jc w:val="left"/>
        <w:rPr>
          <w:rFonts w:ascii="仿宋_GB2312" w:eastAsia="仿宋_GB2312" w:hAnsi="仿宋_GB2312" w:cs="仿宋_GB2312"/>
          <w:b/>
          <w:sz w:val="32"/>
        </w:rPr>
      </w:pPr>
      <w:r w:rsidRPr="001B29E9">
        <w:rPr>
          <w:rFonts w:ascii="仿宋_GB2312" w:eastAsia="仿宋_GB2312" w:hAnsi="仿宋_GB2312" w:cs="仿宋_GB2312" w:hint="eastAsia"/>
          <w:b/>
          <w:sz w:val="32"/>
        </w:rPr>
        <w:t>1.基础内容公开情况</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lastRenderedPageBreak/>
        <w:t>在公开内容上，在政府门户网站主动公开各类政府信息13条，其中</w:t>
      </w:r>
      <w:r w:rsidR="008F37C1" w:rsidRPr="001B29E9">
        <w:rPr>
          <w:rFonts w:ascii="仿宋_GB2312" w:eastAsia="仿宋_GB2312" w:hAnsi="仿宋_GB2312" w:cs="仿宋_GB2312" w:hint="eastAsia"/>
          <w:kern w:val="2"/>
          <w:sz w:val="32"/>
          <w:szCs w:val="32"/>
        </w:rPr>
        <w:t>政务</w:t>
      </w:r>
      <w:r w:rsidRPr="001B29E9">
        <w:rPr>
          <w:rFonts w:ascii="仿宋_GB2312" w:eastAsia="仿宋_GB2312" w:hAnsi="仿宋_GB2312" w:cs="仿宋_GB2312" w:hint="eastAsia"/>
          <w:kern w:val="2"/>
          <w:sz w:val="32"/>
          <w:szCs w:val="32"/>
        </w:rPr>
        <w:t>公开2条，机构职能2条，领导信息1条，行政权力2条，财政信息4条，行政执法公示2条。</w:t>
      </w:r>
    </w:p>
    <w:p w:rsidR="00865BA1" w:rsidRPr="001B29E9" w:rsidRDefault="008D70FC">
      <w:pPr>
        <w:widowControl/>
        <w:adjustRightInd w:val="0"/>
        <w:snapToGrid w:val="0"/>
        <w:jc w:val="center"/>
        <w:rPr>
          <w:rFonts w:ascii="仿宋_GB2312" w:eastAsia="仿宋_GB2312" w:hAnsi="仿宋_GB2312"/>
          <w:b/>
          <w:sz w:val="32"/>
        </w:rPr>
      </w:pPr>
      <w:bookmarkStart w:id="0" w:name="_GoBack"/>
      <w:r w:rsidRPr="001B29E9">
        <w:rPr>
          <w:rFonts w:ascii="仿宋_GB2312" w:eastAsia="仿宋_GB2312" w:hAnsi="仿宋_GB2312"/>
          <w:b/>
          <w:noProof/>
          <w:sz w:val="32"/>
        </w:rPr>
        <w:drawing>
          <wp:inline distT="0" distB="0" distL="0" distR="0">
            <wp:extent cx="4572000" cy="2743200"/>
            <wp:effectExtent l="19050" t="0" r="19050"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865BA1" w:rsidRPr="001B29E9" w:rsidRDefault="008D70FC">
      <w:pPr>
        <w:widowControl/>
        <w:adjustRightInd w:val="0"/>
        <w:snapToGrid w:val="0"/>
        <w:spacing w:line="570" w:lineRule="exact"/>
        <w:ind w:firstLine="643"/>
        <w:jc w:val="left"/>
        <w:rPr>
          <w:rFonts w:ascii="仿宋_GB2312" w:eastAsia="仿宋_GB2312" w:hAnsi="仿宋_GB2312" w:cs="仿宋_GB2312"/>
          <w:b/>
          <w:sz w:val="32"/>
        </w:rPr>
      </w:pPr>
      <w:r w:rsidRPr="001B29E9">
        <w:rPr>
          <w:rFonts w:ascii="楷体_GB2312" w:eastAsia="楷体_GB2312" w:hAnsi="楷体_GB2312" w:hint="eastAsia"/>
          <w:b/>
          <w:sz w:val="32"/>
        </w:rPr>
        <w:t>（三）依申请公开</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1.收到和处理政府信息公开申请情况。在编制的《曲阜市退役军人事务局政府信息公开指南》中，对依申请公开工作的程序、申请方式、答复方式、答复时限等做了详细规定。2020年，共收到政府信息公开申请</w:t>
      </w:r>
      <w:r w:rsidR="006D2D9A" w:rsidRPr="001B29E9">
        <w:rPr>
          <w:rFonts w:ascii="仿宋_GB2312" w:eastAsia="仿宋_GB2312" w:hAnsi="仿宋_GB2312" w:cs="仿宋_GB2312" w:hint="eastAsia"/>
          <w:kern w:val="2"/>
          <w:sz w:val="32"/>
          <w:szCs w:val="32"/>
        </w:rPr>
        <w:t>12</w:t>
      </w:r>
      <w:r w:rsidRPr="001B29E9">
        <w:rPr>
          <w:rFonts w:ascii="仿宋_GB2312" w:eastAsia="仿宋_GB2312" w:hAnsi="仿宋_GB2312" w:cs="仿宋_GB2312" w:hint="eastAsia"/>
          <w:kern w:val="2"/>
          <w:sz w:val="32"/>
          <w:szCs w:val="32"/>
        </w:rPr>
        <w:t>条，按时答复</w:t>
      </w:r>
      <w:r w:rsidR="006D2D9A" w:rsidRPr="001B29E9">
        <w:rPr>
          <w:rFonts w:ascii="仿宋_GB2312" w:eastAsia="仿宋_GB2312" w:hAnsi="仿宋_GB2312" w:cs="仿宋_GB2312" w:hint="eastAsia"/>
          <w:kern w:val="2"/>
          <w:sz w:val="32"/>
          <w:szCs w:val="32"/>
        </w:rPr>
        <w:t>12</w:t>
      </w:r>
      <w:r w:rsidRPr="001B29E9">
        <w:rPr>
          <w:rFonts w:ascii="仿宋_GB2312" w:eastAsia="仿宋_GB2312" w:hAnsi="仿宋_GB2312" w:cs="仿宋_GB2312" w:hint="eastAsia"/>
          <w:kern w:val="2"/>
          <w:sz w:val="32"/>
          <w:szCs w:val="32"/>
        </w:rPr>
        <w:t>条。</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2、收费减免情况。我单位暂不涉及该事宜。</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3、政府信息公开行政复议、行政诉讼情况。本年度，未收到以政府信息公开为由提起的行政复议和行政诉讼。</w:t>
      </w:r>
    </w:p>
    <w:p w:rsidR="00865BA1" w:rsidRPr="001B29E9" w:rsidRDefault="008D70FC">
      <w:pPr>
        <w:widowControl/>
        <w:adjustRightInd w:val="0"/>
        <w:snapToGrid w:val="0"/>
        <w:spacing w:line="570" w:lineRule="exact"/>
        <w:ind w:firstLine="643"/>
        <w:jc w:val="left"/>
        <w:rPr>
          <w:rFonts w:ascii="楷体_GB2312" w:eastAsia="楷体_GB2312" w:hAnsi="楷体_GB2312"/>
          <w:b/>
          <w:sz w:val="32"/>
        </w:rPr>
      </w:pPr>
      <w:r w:rsidRPr="001B29E9">
        <w:rPr>
          <w:rFonts w:ascii="楷体_GB2312" w:eastAsia="楷体_GB2312" w:hAnsi="楷体_GB2312" w:hint="eastAsia"/>
          <w:b/>
          <w:sz w:val="32"/>
        </w:rPr>
        <w:t>（四）政府信息管理</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严格遵循“谁公开谁审查、谁审查谁负责”和“先审查、后公开”的原则，指定专人负责，全力做好需公开政府信息的保密</w:t>
      </w:r>
      <w:r w:rsidRPr="001B29E9">
        <w:rPr>
          <w:rFonts w:ascii="仿宋_GB2312" w:eastAsia="仿宋_GB2312" w:hAnsi="仿宋_GB2312" w:cs="仿宋_GB2312" w:hint="eastAsia"/>
          <w:kern w:val="2"/>
          <w:sz w:val="32"/>
          <w:szCs w:val="32"/>
        </w:rPr>
        <w:lastRenderedPageBreak/>
        <w:t>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2020年，市退役军人事务局未发生政府信息公开泄密事件。</w:t>
      </w:r>
    </w:p>
    <w:p w:rsidR="00865BA1" w:rsidRPr="001B29E9" w:rsidRDefault="008D70FC">
      <w:pPr>
        <w:widowControl/>
        <w:adjustRightInd w:val="0"/>
        <w:snapToGrid w:val="0"/>
        <w:spacing w:line="570" w:lineRule="exact"/>
        <w:ind w:firstLine="643"/>
        <w:jc w:val="left"/>
        <w:rPr>
          <w:rFonts w:ascii="楷体_GB2312" w:eastAsia="楷体_GB2312" w:hAnsi="楷体_GB2312"/>
          <w:b/>
          <w:sz w:val="32"/>
        </w:rPr>
      </w:pPr>
      <w:r w:rsidRPr="001B29E9">
        <w:rPr>
          <w:rFonts w:ascii="楷体_GB2312" w:eastAsia="楷体_GB2312" w:hAnsi="楷体_GB2312" w:hint="eastAsia"/>
          <w:b/>
          <w:sz w:val="32"/>
        </w:rPr>
        <w:t>（五）机构人员和平台建设情况</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市退役军人事务局办公室是本机关的政府信息公开工作机构，现有兼职工作人员</w:t>
      </w:r>
      <w:r w:rsidR="006D2D9A" w:rsidRPr="001B29E9">
        <w:rPr>
          <w:rFonts w:ascii="仿宋_GB2312" w:eastAsia="仿宋_GB2312" w:hAnsi="仿宋_GB2312" w:cs="仿宋_GB2312" w:hint="eastAsia"/>
          <w:kern w:val="2"/>
          <w:sz w:val="32"/>
          <w:szCs w:val="32"/>
        </w:rPr>
        <w:t>5</w:t>
      </w:r>
      <w:r w:rsidRPr="001B29E9">
        <w:rPr>
          <w:rFonts w:ascii="仿宋_GB2312" w:eastAsia="仿宋_GB2312" w:hAnsi="仿宋_GB2312" w:cs="仿宋_GB2312" w:hint="eastAsia"/>
          <w:kern w:val="2"/>
          <w:sz w:val="32"/>
          <w:szCs w:val="32"/>
        </w:rPr>
        <w:t>人，其中负责受理信息公开申请的兼职工作人员</w:t>
      </w:r>
      <w:r w:rsidR="006D2D9A" w:rsidRPr="001B29E9">
        <w:rPr>
          <w:rFonts w:ascii="仿宋_GB2312" w:eastAsia="仿宋_GB2312" w:hAnsi="仿宋_GB2312" w:cs="仿宋_GB2312" w:hint="eastAsia"/>
          <w:kern w:val="2"/>
          <w:sz w:val="32"/>
          <w:szCs w:val="32"/>
        </w:rPr>
        <w:t>3</w:t>
      </w:r>
      <w:r w:rsidRPr="001B29E9">
        <w:rPr>
          <w:rFonts w:ascii="仿宋_GB2312" w:eastAsia="仿宋_GB2312" w:hAnsi="仿宋_GB2312" w:cs="仿宋_GB2312" w:hint="eastAsia"/>
          <w:kern w:val="2"/>
          <w:sz w:val="32"/>
          <w:szCs w:val="32"/>
        </w:rPr>
        <w:t>人，负责网站子点新闻发布、新媒体日常内容保障的兼职工作人员1人，负责政务信息公开兼职工作人员1人。</w:t>
      </w:r>
    </w:p>
    <w:p w:rsidR="00865BA1" w:rsidRPr="001B29E9" w:rsidRDefault="008D70FC">
      <w:pPr>
        <w:widowControl/>
        <w:adjustRightInd w:val="0"/>
        <w:snapToGrid w:val="0"/>
        <w:spacing w:line="570" w:lineRule="exact"/>
        <w:ind w:firstLine="643"/>
        <w:jc w:val="left"/>
        <w:rPr>
          <w:rFonts w:ascii="仿宋_GB2312" w:eastAsia="仿宋_GB2312" w:hAnsi="仿宋_GB2312"/>
          <w:b/>
          <w:sz w:val="32"/>
        </w:rPr>
      </w:pPr>
      <w:r w:rsidRPr="001B29E9">
        <w:rPr>
          <w:rFonts w:ascii="楷体_GB2312" w:eastAsia="楷体_GB2312" w:hAnsi="楷体_GB2312" w:hint="eastAsia"/>
          <w:b/>
          <w:sz w:val="32"/>
        </w:rPr>
        <w:t>（六）监督保障情况</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本机关高度重视对全市退役军人事务系统政务公开和信息公开工作的指导监督，印发了《曲阜市退役军人事务局政府信息公开指南》，要求各科室认真落实政务公开工作任务，推动行政权力运行公开；继续全面推进“五公开”；聚焦群众关切，强化政策解读和舆情回应；不断强化平台建设，做好退役军人事务领域信息公开等，我市退役军人事务工作透明度不断提升。</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黑体" w:eastAsia="黑体" w:hAnsi="黑体" w:cs="黑体"/>
          <w:kern w:val="2"/>
          <w:sz w:val="32"/>
          <w:szCs w:val="32"/>
        </w:rPr>
      </w:pPr>
      <w:r w:rsidRPr="001B29E9">
        <w:rPr>
          <w:rFonts w:ascii="黑体" w:eastAsia="黑体" w:hAnsi="黑体" w:cs="黑体" w:hint="eastAsia"/>
          <w:kern w:val="2"/>
          <w:sz w:val="32"/>
          <w:szCs w:val="32"/>
        </w:rPr>
        <w:t>二、主动公开政府信息情况</w:t>
      </w:r>
    </w:p>
    <w:tbl>
      <w:tblPr>
        <w:tblW w:w="8145" w:type="dxa"/>
        <w:jc w:val="center"/>
        <w:tblCellMar>
          <w:top w:w="15" w:type="dxa"/>
          <w:left w:w="15" w:type="dxa"/>
          <w:bottom w:w="15" w:type="dxa"/>
          <w:right w:w="15" w:type="dxa"/>
        </w:tblCellMar>
        <w:tblLook w:val="04A0"/>
      </w:tblPr>
      <w:tblGrid>
        <w:gridCol w:w="3120"/>
        <w:gridCol w:w="1875"/>
        <w:gridCol w:w="1275"/>
        <w:gridCol w:w="1875"/>
      </w:tblGrid>
      <w:tr w:rsidR="00865BA1" w:rsidRPr="001B29E9">
        <w:trPr>
          <w:trHeight w:val="495"/>
          <w:jc w:val="center"/>
        </w:trPr>
        <w:tc>
          <w:tcPr>
            <w:tcW w:w="814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第二十条第（一）项</w:t>
            </w:r>
          </w:p>
        </w:tc>
      </w:tr>
      <w:tr w:rsidR="00865BA1" w:rsidRPr="001B29E9">
        <w:trPr>
          <w:trHeight w:val="84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本年新</w:t>
            </w:r>
            <w:r w:rsidRPr="001B29E9">
              <w:rPr>
                <w:rFonts w:cs="Calibri"/>
                <w:sz w:val="19"/>
                <w:szCs w:val="19"/>
              </w:rPr>
              <w:t>制作数量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本年新</w:t>
            </w:r>
            <w:r w:rsidRPr="001B29E9">
              <w:rPr>
                <w:rFonts w:cs="Calibri"/>
                <w:sz w:val="19"/>
                <w:szCs w:val="19"/>
              </w:rPr>
              <w:t>公开数量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对外公开总数量</w:t>
            </w:r>
          </w:p>
        </w:tc>
      </w:tr>
      <w:tr w:rsidR="00865BA1" w:rsidRPr="001B29E9">
        <w:trPr>
          <w:trHeight w:val="52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lastRenderedPageBreak/>
              <w:t>规章</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trHeight w:val="46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规范性文件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hint="eastAsia"/>
                <w:sz w:val="21"/>
                <w:szCs w:val="21"/>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hint="eastAsia"/>
                <w:sz w:val="21"/>
                <w:szCs w:val="21"/>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hint="eastAsia"/>
                <w:sz w:val="21"/>
                <w:szCs w:val="21"/>
              </w:rPr>
              <w:t>0</w:t>
            </w:r>
          </w:p>
        </w:tc>
      </w:tr>
      <w:tr w:rsidR="00865BA1" w:rsidRPr="001B29E9">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第二十条第（五）项</w:t>
            </w:r>
          </w:p>
        </w:tc>
      </w:tr>
      <w:tr w:rsidR="00865BA1" w:rsidRPr="001B29E9">
        <w:trPr>
          <w:trHeight w:val="63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处理决定数量</w:t>
            </w:r>
          </w:p>
        </w:tc>
      </w:tr>
      <w:tr w:rsidR="00865BA1" w:rsidRPr="001B29E9">
        <w:trPr>
          <w:trHeight w:val="52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行政许可</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r>
      <w:tr w:rsidR="00865BA1" w:rsidRPr="001B29E9">
        <w:trPr>
          <w:trHeight w:val="55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其他对外管理服务事项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trHeight w:val="405"/>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第二十条第（六）项</w:t>
            </w:r>
          </w:p>
        </w:tc>
      </w:tr>
      <w:tr w:rsidR="00865BA1" w:rsidRPr="001B29E9">
        <w:trPr>
          <w:trHeight w:val="63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处理决定数量</w:t>
            </w:r>
          </w:p>
        </w:tc>
      </w:tr>
      <w:tr w:rsidR="00865BA1" w:rsidRPr="001B29E9">
        <w:trPr>
          <w:trHeight w:val="43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行政处罚</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r>
      <w:tr w:rsidR="00865BA1" w:rsidRPr="001B29E9">
        <w:trPr>
          <w:trHeight w:val="40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行政强制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r>
      <w:tr w:rsidR="00865BA1" w:rsidRPr="001B29E9">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第二十条第（八）项</w:t>
            </w:r>
          </w:p>
        </w:tc>
      </w:tr>
      <w:tr w:rsidR="00865BA1" w:rsidRPr="001B29E9">
        <w:trPr>
          <w:trHeight w:val="27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上一年项目数量</w:t>
            </w:r>
          </w:p>
        </w:tc>
        <w:tc>
          <w:tcPr>
            <w:tcW w:w="3150" w:type="dxa"/>
            <w:gridSpan w:val="2"/>
            <w:tcBorders>
              <w:top w:val="single" w:sz="6" w:space="0" w:color="auto"/>
              <w:left w:val="nil"/>
              <w:bottom w:val="single" w:sz="6" w:space="0" w:color="auto"/>
              <w:right w:val="single" w:sz="6" w:space="0" w:color="000000"/>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本年增/减</w:t>
            </w:r>
          </w:p>
        </w:tc>
      </w:tr>
      <w:tr w:rsidR="00865BA1" w:rsidRPr="001B29E9">
        <w:trPr>
          <w:trHeight w:val="55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行政事业性收费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3150" w:type="dxa"/>
            <w:gridSpan w:val="2"/>
            <w:tcBorders>
              <w:top w:val="nil"/>
              <w:left w:val="nil"/>
              <w:bottom w:val="single" w:sz="6" w:space="0" w:color="auto"/>
              <w:right w:val="single" w:sz="6" w:space="0" w:color="000000"/>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第二十条第（九）项</w:t>
            </w:r>
          </w:p>
        </w:tc>
      </w:tr>
      <w:tr w:rsidR="00865BA1" w:rsidRPr="001B29E9">
        <w:trPr>
          <w:trHeight w:val="58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采购项目数量</w:t>
            </w:r>
          </w:p>
        </w:tc>
        <w:tc>
          <w:tcPr>
            <w:tcW w:w="3150" w:type="dxa"/>
            <w:gridSpan w:val="2"/>
            <w:tcBorders>
              <w:top w:val="single" w:sz="6" w:space="0" w:color="auto"/>
              <w:left w:val="nil"/>
              <w:bottom w:val="single" w:sz="6" w:space="0" w:color="auto"/>
              <w:right w:val="single" w:sz="6" w:space="0" w:color="000000"/>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采购总金额</w:t>
            </w:r>
          </w:p>
        </w:tc>
      </w:tr>
      <w:tr w:rsidR="00865BA1" w:rsidRPr="001B29E9">
        <w:trPr>
          <w:trHeight w:val="54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政府集中采购</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6D2D9A">
            <w:pPr>
              <w:pStyle w:val="a6"/>
              <w:widowControl/>
              <w:adjustRightInd w:val="0"/>
              <w:snapToGrid w:val="0"/>
              <w:spacing w:before="0" w:beforeAutospacing="0" w:after="0" w:afterAutospacing="0" w:line="570" w:lineRule="exact"/>
              <w:jc w:val="center"/>
              <w:rPr>
                <w:sz w:val="21"/>
                <w:szCs w:val="21"/>
              </w:rPr>
            </w:pPr>
            <w:r w:rsidRPr="001B29E9">
              <w:rPr>
                <w:rFonts w:hint="eastAsia"/>
                <w:sz w:val="21"/>
                <w:szCs w:val="21"/>
              </w:rPr>
              <w:t>1</w:t>
            </w:r>
          </w:p>
        </w:tc>
        <w:tc>
          <w:tcPr>
            <w:tcW w:w="3150" w:type="dxa"/>
            <w:gridSpan w:val="2"/>
            <w:tcBorders>
              <w:top w:val="nil"/>
              <w:left w:val="nil"/>
              <w:bottom w:val="single" w:sz="6" w:space="0" w:color="auto"/>
              <w:right w:val="single" w:sz="6" w:space="0" w:color="000000"/>
            </w:tcBorders>
            <w:tcMar>
              <w:top w:w="0" w:type="dxa"/>
              <w:left w:w="105" w:type="dxa"/>
              <w:bottom w:w="0" w:type="dxa"/>
              <w:right w:w="105" w:type="dxa"/>
            </w:tcMar>
            <w:vAlign w:val="center"/>
          </w:tcPr>
          <w:p w:rsidR="00865BA1" w:rsidRPr="001B29E9" w:rsidRDefault="006D2D9A">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49800.00</w:t>
            </w:r>
          </w:p>
        </w:tc>
      </w:tr>
    </w:tbl>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黑体" w:eastAsia="黑体" w:hAnsi="黑体" w:cs="黑体"/>
          <w:kern w:val="2"/>
          <w:sz w:val="32"/>
          <w:szCs w:val="32"/>
        </w:rPr>
      </w:pPr>
      <w:r w:rsidRPr="001B29E9">
        <w:rPr>
          <w:rFonts w:ascii="黑体" w:eastAsia="黑体" w:hAnsi="黑体" w:cs="黑体" w:hint="eastAsia"/>
          <w:kern w:val="2"/>
          <w:sz w:val="32"/>
          <w:szCs w:val="32"/>
        </w:rPr>
        <w:t>三、收到和处理政府信息公开申请情况</w:t>
      </w:r>
    </w:p>
    <w:tbl>
      <w:tblPr>
        <w:tblW w:w="907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tblPr>
      <w:tblGrid>
        <w:gridCol w:w="590"/>
        <w:gridCol w:w="853"/>
        <w:gridCol w:w="2097"/>
        <w:gridCol w:w="816"/>
        <w:gridCol w:w="757"/>
        <w:gridCol w:w="757"/>
        <w:gridCol w:w="816"/>
        <w:gridCol w:w="977"/>
        <w:gridCol w:w="713"/>
        <w:gridCol w:w="699"/>
      </w:tblGrid>
      <w:tr w:rsidR="00865BA1" w:rsidRPr="001B29E9">
        <w:trPr>
          <w:jc w:val="center"/>
        </w:trPr>
        <w:tc>
          <w:tcPr>
            <w:tcW w:w="3540"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（本列数据的勾稽关系为：第一项加第二项之和，等于第三项加第四项之和）</w:t>
            </w:r>
          </w:p>
        </w:tc>
        <w:tc>
          <w:tcPr>
            <w:tcW w:w="5535"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申请人情况</w:t>
            </w:r>
          </w:p>
        </w:tc>
      </w:tr>
      <w:tr w:rsidR="00865BA1" w:rsidRPr="001B29E9">
        <w:trPr>
          <w:jc w:val="center"/>
        </w:trPr>
        <w:tc>
          <w:tcPr>
            <w:tcW w:w="3540" w:type="dxa"/>
            <w:gridSpan w:val="3"/>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16"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自然人</w:t>
            </w:r>
          </w:p>
        </w:tc>
        <w:tc>
          <w:tcPr>
            <w:tcW w:w="402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法人或其他组织</w:t>
            </w:r>
          </w:p>
        </w:tc>
        <w:tc>
          <w:tcPr>
            <w:tcW w:w="699"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总计</w:t>
            </w:r>
          </w:p>
        </w:tc>
      </w:tr>
      <w:tr w:rsidR="00865BA1" w:rsidRPr="001B29E9">
        <w:trPr>
          <w:jc w:val="center"/>
        </w:trPr>
        <w:tc>
          <w:tcPr>
            <w:tcW w:w="3540" w:type="dxa"/>
            <w:gridSpan w:val="3"/>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16"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商业企业</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科研机构</w:t>
            </w:r>
          </w:p>
        </w:tc>
        <w:tc>
          <w:tcPr>
            <w:tcW w:w="816"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社会公益组织</w:t>
            </w:r>
          </w:p>
        </w:tc>
        <w:tc>
          <w:tcPr>
            <w:tcW w:w="977"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法律服务机构</w:t>
            </w:r>
          </w:p>
        </w:tc>
        <w:tc>
          <w:tcPr>
            <w:tcW w:w="71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其他</w:t>
            </w:r>
          </w:p>
        </w:tc>
        <w:tc>
          <w:tcPr>
            <w:tcW w:w="699" w:type="dxa"/>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r>
      <w:tr w:rsidR="00865BA1" w:rsidRPr="001B29E9">
        <w:trPr>
          <w:jc w:val="center"/>
        </w:trPr>
        <w:tc>
          <w:tcPr>
            <w:tcW w:w="354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lastRenderedPageBreak/>
              <w:t>一、本年新收政府信息公开申请数量</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6D2D9A">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12</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354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二、上年结转政府信息公开申请数量</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三、本年度办理结果</w:t>
            </w:r>
          </w:p>
        </w:tc>
        <w:tc>
          <w:tcPr>
            <w:tcW w:w="295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sz w:val="19"/>
                <w:szCs w:val="19"/>
              </w:rPr>
              <w:t>（一）予以公开</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6D2D9A">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12</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21"/>
                <w:szCs w:val="21"/>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95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（二）部分公开（区分处理的，只计这一情形，不计其他情形）</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（三）不予公开</w:t>
            </w: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1.属于国家秘密</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2.其他法律行政法规禁止公开</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trHeight w:val="1005"/>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3.危及“三安全一稳定”</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4.保护第三方合法权益</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5.属于三类内部事务信息</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6.属于四类过程性信息</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7.属于行政执法案卷</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8.属于行政查询事项</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（四）无法提供</w:t>
            </w: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1.本机关不掌握相关政府信息</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2.没有现成信息需要另行制作</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3.补正后申请内容仍不明确</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（五）不予处理</w:t>
            </w: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1.信访举报投诉类申请</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2.重复申请</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3.要求提供公开出版物</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4.无正当理由大量反复申请</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853"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09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5.要求行政机关确认或重新出具已获取信息</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95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（六）其他处理</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59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295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楷体" w:eastAsia="楷体" w:hAnsi="楷体" w:cs="楷体" w:hint="eastAsia"/>
                <w:sz w:val="19"/>
                <w:szCs w:val="19"/>
              </w:rPr>
              <w:t>（七）总计</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r w:rsidR="00865BA1" w:rsidRPr="001B29E9">
        <w:trPr>
          <w:jc w:val="center"/>
        </w:trPr>
        <w:tc>
          <w:tcPr>
            <w:tcW w:w="3540"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both"/>
              <w:rPr>
                <w:sz w:val="21"/>
                <w:szCs w:val="21"/>
              </w:rPr>
            </w:pPr>
            <w:r w:rsidRPr="001B29E9">
              <w:rPr>
                <w:rFonts w:ascii="宋体" w:hAnsi="宋体" w:cs="宋体" w:hint="eastAsia"/>
                <w:sz w:val="19"/>
                <w:szCs w:val="19"/>
              </w:rPr>
              <w:t>四、结转下年度继续办理</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5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816"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977"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713"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c>
          <w:tcPr>
            <w:tcW w:w="699"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0</w:t>
            </w:r>
          </w:p>
        </w:tc>
      </w:tr>
    </w:tbl>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黑体" w:eastAsia="黑体" w:hAnsi="黑体" w:cs="黑体"/>
          <w:kern w:val="2"/>
          <w:sz w:val="32"/>
          <w:szCs w:val="32"/>
        </w:rPr>
      </w:pPr>
      <w:r w:rsidRPr="001B29E9">
        <w:rPr>
          <w:rFonts w:ascii="黑体" w:eastAsia="黑体" w:hAnsi="黑体" w:cs="黑体" w:hint="eastAsia"/>
          <w:kern w:val="2"/>
          <w:sz w:val="32"/>
          <w:szCs w:val="32"/>
        </w:rPr>
        <w:t>四、政府信息公开行政复议、行政诉讼情况</w:t>
      </w:r>
    </w:p>
    <w:tbl>
      <w:tblPr>
        <w:tblW w:w="907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tblPr>
      <w:tblGrid>
        <w:gridCol w:w="600"/>
        <w:gridCol w:w="600"/>
        <w:gridCol w:w="600"/>
        <w:gridCol w:w="600"/>
        <w:gridCol w:w="675"/>
        <w:gridCol w:w="555"/>
        <w:gridCol w:w="600"/>
        <w:gridCol w:w="600"/>
        <w:gridCol w:w="600"/>
        <w:gridCol w:w="615"/>
        <w:gridCol w:w="600"/>
        <w:gridCol w:w="600"/>
        <w:gridCol w:w="600"/>
        <w:gridCol w:w="600"/>
        <w:gridCol w:w="630"/>
      </w:tblGrid>
      <w:tr w:rsidR="00865BA1" w:rsidRPr="001B29E9">
        <w:trPr>
          <w:jc w:val="center"/>
        </w:trPr>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行政复议</w:t>
            </w:r>
          </w:p>
        </w:tc>
        <w:tc>
          <w:tcPr>
            <w:tcW w:w="600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行政诉讼</w:t>
            </w:r>
          </w:p>
        </w:tc>
      </w:tr>
      <w:tr w:rsidR="00865BA1" w:rsidRPr="001B29E9">
        <w:trPr>
          <w:jc w:val="center"/>
        </w:trPr>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结果维持</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结果纠正</w:t>
            </w:r>
          </w:p>
        </w:tc>
        <w:tc>
          <w:tcPr>
            <w:tcW w:w="60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其他结果</w:t>
            </w:r>
          </w:p>
        </w:tc>
        <w:tc>
          <w:tcPr>
            <w:tcW w:w="60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尚未审结</w:t>
            </w:r>
          </w:p>
        </w:tc>
        <w:tc>
          <w:tcPr>
            <w:tcW w:w="66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总计</w:t>
            </w:r>
          </w:p>
        </w:tc>
        <w:tc>
          <w:tcPr>
            <w:tcW w:w="297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未经复议直接起诉</w:t>
            </w:r>
          </w:p>
        </w:tc>
        <w:tc>
          <w:tcPr>
            <w:tcW w:w="303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复议后起诉</w:t>
            </w:r>
          </w:p>
        </w:tc>
      </w:tr>
      <w:tr w:rsidR="00865BA1" w:rsidRPr="001B29E9">
        <w:trPr>
          <w:jc w:val="center"/>
        </w:trPr>
        <w:tc>
          <w:tcPr>
            <w:tcW w:w="600" w:type="dxa"/>
            <w:vMerge/>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600"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600" w:type="dxa"/>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600" w:type="dxa"/>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660" w:type="dxa"/>
            <w:vMerge/>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65BA1">
            <w:pPr>
              <w:adjustRightInd w:val="0"/>
              <w:snapToGrid w:val="0"/>
              <w:spacing w:line="570" w:lineRule="exact"/>
              <w:rPr>
                <w:rFonts w:ascii="宋体"/>
                <w:sz w:val="24"/>
              </w:rPr>
            </w:pP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总计</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结果维持</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宋体" w:hAnsi="宋体" w:cs="宋体" w:hint="eastAsia"/>
                <w:sz w:val="19"/>
                <w:szCs w:val="19"/>
              </w:rPr>
              <w:t>总计</w:t>
            </w:r>
          </w:p>
        </w:tc>
      </w:tr>
      <w:tr w:rsidR="00865BA1" w:rsidRPr="001B29E9">
        <w:trPr>
          <w:jc w:val="center"/>
        </w:trPr>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rPr>
              <w:lastRenderedPageBreak/>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tcPr>
          <w:p w:rsidR="00865BA1" w:rsidRPr="001B29E9" w:rsidRDefault="008D70FC">
            <w:pPr>
              <w:pStyle w:val="a6"/>
              <w:widowControl/>
              <w:adjustRightInd w:val="0"/>
              <w:snapToGrid w:val="0"/>
              <w:spacing w:before="0" w:beforeAutospacing="0" w:after="0" w:afterAutospacing="0" w:line="570" w:lineRule="exact"/>
              <w:jc w:val="center"/>
              <w:rPr>
                <w:sz w:val="21"/>
                <w:szCs w:val="21"/>
              </w:rPr>
            </w:pPr>
            <w:r w:rsidRPr="001B29E9">
              <w:rPr>
                <w:rFonts w:ascii="仿宋_GB2312" w:eastAsia="仿宋_GB2312" w:cs="仿宋_GB2312" w:hint="eastAsia"/>
              </w:rPr>
              <w:t>0</w:t>
            </w:r>
          </w:p>
        </w:tc>
      </w:tr>
    </w:tbl>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黑体" w:eastAsia="黑体" w:hAnsi="黑体" w:cs="黑体"/>
          <w:kern w:val="2"/>
          <w:sz w:val="32"/>
          <w:szCs w:val="32"/>
        </w:rPr>
      </w:pPr>
      <w:r w:rsidRPr="001B29E9">
        <w:rPr>
          <w:rFonts w:ascii="黑体" w:eastAsia="黑体" w:hAnsi="黑体" w:cs="黑体" w:hint="eastAsia"/>
          <w:kern w:val="2"/>
          <w:sz w:val="32"/>
          <w:szCs w:val="32"/>
        </w:rPr>
        <w:t>五、存在的主要问题及改进情况</w:t>
      </w:r>
    </w:p>
    <w:p w:rsidR="00865BA1" w:rsidRPr="001B29E9" w:rsidRDefault="008D70FC">
      <w:pPr>
        <w:widowControl/>
        <w:spacing w:line="420" w:lineRule="atLeast"/>
        <w:ind w:firstLineChars="200" w:firstLine="640"/>
        <w:jc w:val="left"/>
        <w:rPr>
          <w:rFonts w:ascii="仿宋_GB2312" w:eastAsia="仿宋_GB2312" w:hAnsi="仿宋_GB2312" w:cs="仿宋_GB2312"/>
          <w:sz w:val="32"/>
          <w:szCs w:val="32"/>
        </w:rPr>
      </w:pPr>
      <w:r w:rsidRPr="001B29E9">
        <w:rPr>
          <w:rFonts w:ascii="仿宋_GB2312" w:eastAsia="仿宋_GB2312" w:hAnsi="仿宋_GB2312" w:cs="仿宋_GB2312" w:hint="eastAsia"/>
          <w:sz w:val="32"/>
          <w:szCs w:val="32"/>
        </w:rPr>
        <w:t>通过两年来的实践，我局信息公开工作水平得到了一定的提升，但也存在不足，主要表现在：部分科室对信息公开的重要性和必要性认识不够，部分应主动公开的信息项目还有待完善，部门网站信息维护工作水平还有待提高。2021年，我们将继续强化措施，不断开拓创新，做好政府信息公开工作。</w:t>
      </w:r>
    </w:p>
    <w:p w:rsidR="00865BA1" w:rsidRPr="001B29E9" w:rsidRDefault="008D70FC">
      <w:pPr>
        <w:pStyle w:val="a6"/>
        <w:widowControl/>
        <w:shd w:val="clear" w:color="auto" w:fill="FFFFFF"/>
        <w:spacing w:beforeAutospacing="0" w:afterAutospacing="0" w:line="560" w:lineRule="exact"/>
        <w:ind w:firstLineChars="200" w:firstLine="643"/>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b/>
          <w:kern w:val="2"/>
          <w:sz w:val="32"/>
          <w:szCs w:val="32"/>
        </w:rPr>
        <w:t>（一）强化日常维护，夯实公开基础。</w:t>
      </w:r>
      <w:r w:rsidRPr="001B29E9">
        <w:rPr>
          <w:rFonts w:ascii="仿宋_GB2312" w:eastAsia="仿宋_GB2312" w:hAnsi="仿宋_GB2312" w:cs="仿宋_GB2312"/>
          <w:kern w:val="2"/>
          <w:sz w:val="32"/>
          <w:szCs w:val="32"/>
        </w:rPr>
        <w:t>以提高政务信息公开的规范性和及时性、确保在线服务的有效性和实用性、提升公众参与效果等为重点，健全政府信息公开工作的日常机制，</w:t>
      </w:r>
      <w:r w:rsidRPr="001B29E9">
        <w:rPr>
          <w:rFonts w:ascii="仿宋_GB2312" w:eastAsia="仿宋_GB2312" w:hAnsi="仿宋_GB2312" w:cs="仿宋_GB2312" w:hint="eastAsia"/>
          <w:kern w:val="2"/>
          <w:sz w:val="32"/>
          <w:szCs w:val="32"/>
        </w:rPr>
        <w:t>不断提高工作住主动性、自觉性，</w:t>
      </w:r>
      <w:r w:rsidRPr="001B29E9">
        <w:rPr>
          <w:rFonts w:ascii="仿宋_GB2312" w:eastAsia="仿宋_GB2312" w:hAnsi="仿宋_GB2312" w:cs="仿宋_GB2312"/>
          <w:kern w:val="2"/>
          <w:sz w:val="32"/>
          <w:szCs w:val="32"/>
        </w:rPr>
        <w:t>确保政府信息公开工作落到实处。</w:t>
      </w:r>
    </w:p>
    <w:p w:rsidR="00865BA1" w:rsidRPr="001B29E9" w:rsidRDefault="008D70FC">
      <w:pPr>
        <w:pStyle w:val="a6"/>
        <w:widowControl/>
        <w:shd w:val="clear" w:color="auto" w:fill="FFFFFF"/>
        <w:spacing w:beforeAutospacing="0" w:afterAutospacing="0" w:line="560" w:lineRule="exact"/>
        <w:ind w:firstLineChars="200" w:firstLine="643"/>
        <w:jc w:val="both"/>
        <w:rPr>
          <w:rFonts w:ascii="仿宋_GB2312" w:eastAsia="仿宋_GB2312" w:hAnsi="仿宋_GB2312" w:cs="仿宋_GB2312"/>
          <w:kern w:val="2"/>
          <w:sz w:val="32"/>
          <w:szCs w:val="32"/>
        </w:rPr>
      </w:pPr>
      <w:r w:rsidRPr="001B29E9">
        <w:rPr>
          <w:rFonts w:ascii="仿宋_GB2312" w:eastAsia="仿宋_GB2312" w:hAnsi="仿宋_GB2312" w:cs="仿宋_GB2312"/>
          <w:b/>
          <w:kern w:val="2"/>
          <w:sz w:val="32"/>
          <w:szCs w:val="32"/>
        </w:rPr>
        <w:t>（二）</w:t>
      </w:r>
      <w:r w:rsidRPr="001B29E9">
        <w:rPr>
          <w:rFonts w:ascii="仿宋_GB2312" w:eastAsia="仿宋_GB2312" w:hAnsi="仿宋_GB2312" w:cs="仿宋_GB2312" w:hint="eastAsia"/>
          <w:b/>
          <w:kern w:val="2"/>
          <w:sz w:val="32"/>
          <w:szCs w:val="32"/>
        </w:rPr>
        <w:t>注重</w:t>
      </w:r>
      <w:r w:rsidRPr="001B29E9">
        <w:rPr>
          <w:rFonts w:ascii="仿宋_GB2312" w:eastAsia="仿宋_GB2312" w:hAnsi="仿宋_GB2312" w:cs="仿宋_GB2312"/>
          <w:b/>
          <w:kern w:val="2"/>
          <w:sz w:val="32"/>
          <w:szCs w:val="32"/>
        </w:rPr>
        <w:t>宣传工作，</w:t>
      </w:r>
      <w:r w:rsidRPr="001B29E9">
        <w:rPr>
          <w:rFonts w:ascii="仿宋_GB2312" w:eastAsia="仿宋_GB2312" w:hAnsi="仿宋_GB2312" w:cs="仿宋_GB2312" w:hint="eastAsia"/>
          <w:b/>
          <w:kern w:val="2"/>
          <w:sz w:val="32"/>
          <w:szCs w:val="32"/>
        </w:rPr>
        <w:t>拓宽</w:t>
      </w:r>
      <w:r w:rsidRPr="001B29E9">
        <w:rPr>
          <w:rFonts w:ascii="仿宋_GB2312" w:eastAsia="仿宋_GB2312" w:hAnsi="仿宋_GB2312" w:cs="仿宋_GB2312"/>
          <w:b/>
          <w:kern w:val="2"/>
          <w:sz w:val="32"/>
          <w:szCs w:val="32"/>
        </w:rPr>
        <w:t>服务范围。</w:t>
      </w:r>
      <w:r w:rsidRPr="001B29E9">
        <w:rPr>
          <w:rFonts w:ascii="仿宋_GB2312" w:eastAsia="仿宋_GB2312" w:hAnsi="仿宋_GB2312" w:cs="仿宋_GB2312" w:hint="eastAsia"/>
          <w:kern w:val="2"/>
          <w:sz w:val="32"/>
          <w:szCs w:val="32"/>
        </w:rPr>
        <w:t>有针对性的加强领导，确保内部协调有力，相关数据做到应报尽报，全面准确。</w:t>
      </w:r>
      <w:r w:rsidRPr="001B29E9">
        <w:rPr>
          <w:rFonts w:ascii="仿宋_GB2312" w:eastAsia="仿宋_GB2312" w:hAnsi="仿宋_GB2312" w:cs="仿宋_GB2312"/>
          <w:kern w:val="2"/>
          <w:sz w:val="32"/>
          <w:szCs w:val="32"/>
        </w:rPr>
        <w:t>结合公众实际需求，加强政府信息公开工作服务内容、服务功能的社会宣传工作，让城乡居民能够切实体会到政府信息公开工作服务的实用性和便捷性，拉近与社会公众距离。</w:t>
      </w:r>
    </w:p>
    <w:p w:rsidR="00865BA1" w:rsidRPr="001B29E9" w:rsidRDefault="008D70FC">
      <w:pPr>
        <w:pStyle w:val="a6"/>
        <w:widowControl/>
        <w:shd w:val="clear" w:color="auto" w:fill="FFFFFF"/>
        <w:spacing w:beforeAutospacing="0" w:afterAutospacing="0" w:line="560" w:lineRule="exact"/>
        <w:ind w:firstLineChars="200" w:firstLine="643"/>
        <w:jc w:val="both"/>
        <w:rPr>
          <w:rFonts w:ascii="仿宋_GB2312" w:eastAsia="仿宋_GB2312" w:hAnsi="仿宋_GB2312" w:cs="仿宋_GB2312"/>
          <w:kern w:val="2"/>
          <w:sz w:val="32"/>
          <w:szCs w:val="32"/>
        </w:rPr>
      </w:pPr>
      <w:r w:rsidRPr="001B29E9">
        <w:rPr>
          <w:rFonts w:ascii="仿宋_GB2312" w:eastAsia="仿宋_GB2312" w:hAnsi="仿宋_GB2312" w:cs="仿宋_GB2312"/>
          <w:b/>
          <w:kern w:val="2"/>
          <w:sz w:val="32"/>
          <w:szCs w:val="32"/>
        </w:rPr>
        <w:t>（</w:t>
      </w:r>
      <w:r w:rsidRPr="001B29E9">
        <w:rPr>
          <w:rFonts w:ascii="仿宋_GB2312" w:eastAsia="仿宋_GB2312" w:hAnsi="仿宋_GB2312" w:cs="仿宋_GB2312" w:hint="eastAsia"/>
          <w:b/>
          <w:kern w:val="2"/>
          <w:sz w:val="32"/>
          <w:szCs w:val="32"/>
        </w:rPr>
        <w:t>三</w:t>
      </w:r>
      <w:r w:rsidRPr="001B29E9">
        <w:rPr>
          <w:rFonts w:ascii="仿宋_GB2312" w:eastAsia="仿宋_GB2312" w:hAnsi="仿宋_GB2312" w:cs="仿宋_GB2312"/>
          <w:b/>
          <w:kern w:val="2"/>
          <w:sz w:val="32"/>
          <w:szCs w:val="32"/>
        </w:rPr>
        <w:t>）认真按照信息公开目录，提高信息公开的规范性。</w:t>
      </w:r>
      <w:r w:rsidRPr="001B29E9">
        <w:rPr>
          <w:rFonts w:ascii="仿宋_GB2312" w:eastAsia="仿宋_GB2312" w:hAnsi="仿宋_GB2312" w:cs="仿宋_GB2312"/>
          <w:kern w:val="2"/>
          <w:sz w:val="32"/>
          <w:szCs w:val="32"/>
        </w:rPr>
        <w:t>以信息公开目录为核心，加强政务信息资源的整合，与目录体系建立关联关系，提升政务信息资源的开发利用水平，更好地满足公众对政务信息资源的需求。</w:t>
      </w:r>
    </w:p>
    <w:p w:rsidR="00865BA1" w:rsidRPr="001B29E9" w:rsidRDefault="008D70FC">
      <w:pPr>
        <w:pStyle w:val="a6"/>
        <w:widowControl/>
        <w:shd w:val="clear" w:color="auto" w:fill="FFFFFF"/>
        <w:spacing w:beforeAutospacing="0" w:afterAutospacing="0" w:line="560" w:lineRule="exact"/>
        <w:ind w:firstLineChars="200" w:firstLine="643"/>
        <w:jc w:val="both"/>
        <w:rPr>
          <w:rFonts w:ascii="仿宋_GB2312" w:eastAsia="仿宋_GB2312" w:hAnsi="仿宋_GB2312" w:cs="仿宋_GB2312"/>
          <w:kern w:val="2"/>
          <w:sz w:val="32"/>
          <w:szCs w:val="32"/>
        </w:rPr>
      </w:pPr>
      <w:r w:rsidRPr="001B29E9">
        <w:rPr>
          <w:rFonts w:ascii="仿宋_GB2312" w:eastAsia="仿宋_GB2312" w:hAnsi="仿宋_GB2312" w:cs="仿宋_GB2312"/>
          <w:b/>
          <w:kern w:val="2"/>
          <w:sz w:val="32"/>
          <w:szCs w:val="32"/>
        </w:rPr>
        <w:lastRenderedPageBreak/>
        <w:t>（</w:t>
      </w:r>
      <w:r w:rsidRPr="001B29E9">
        <w:rPr>
          <w:rFonts w:ascii="仿宋_GB2312" w:eastAsia="仿宋_GB2312" w:hAnsi="仿宋_GB2312" w:cs="仿宋_GB2312" w:hint="eastAsia"/>
          <w:b/>
          <w:kern w:val="2"/>
          <w:sz w:val="32"/>
          <w:szCs w:val="32"/>
        </w:rPr>
        <w:t>四</w:t>
      </w:r>
      <w:r w:rsidRPr="001B29E9">
        <w:rPr>
          <w:rFonts w:ascii="仿宋_GB2312" w:eastAsia="仿宋_GB2312" w:hAnsi="仿宋_GB2312" w:cs="仿宋_GB2312"/>
          <w:b/>
          <w:kern w:val="2"/>
          <w:sz w:val="32"/>
          <w:szCs w:val="32"/>
        </w:rPr>
        <w:t>）健全公众参与渠道，增强互动效果。</w:t>
      </w:r>
      <w:r w:rsidRPr="001B29E9">
        <w:rPr>
          <w:rFonts w:ascii="仿宋_GB2312" w:eastAsia="仿宋_GB2312" w:hAnsi="仿宋_GB2312" w:cs="仿宋_GB2312"/>
          <w:kern w:val="2"/>
          <w:sz w:val="32"/>
          <w:szCs w:val="32"/>
        </w:rPr>
        <w:t>政府信息公开工作为公众参与公共管理和公共决策提供了有效途径，是保障公众民主权利的重要举措。应高度重视政府信息公开工作在促进政民沟通中的作用，加强资源的整合，完善公众参与渠道，切实保障公众权利。</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黑体" w:eastAsia="黑体" w:hAnsi="黑体" w:cs="黑体"/>
          <w:kern w:val="2"/>
          <w:sz w:val="32"/>
          <w:szCs w:val="32"/>
        </w:rPr>
      </w:pPr>
      <w:r w:rsidRPr="001B29E9">
        <w:rPr>
          <w:rFonts w:ascii="黑体" w:eastAsia="黑体" w:hAnsi="黑体" w:cs="黑体" w:hint="eastAsia"/>
          <w:kern w:val="2"/>
          <w:sz w:val="32"/>
          <w:szCs w:val="32"/>
        </w:rPr>
        <w:t>六、其他需要报告的事项</w:t>
      </w:r>
    </w:p>
    <w:p w:rsidR="00865BA1" w:rsidRPr="001B29E9" w:rsidRDefault="008D70FC">
      <w:pPr>
        <w:pStyle w:val="a6"/>
        <w:widowControl/>
        <w:adjustRightInd w:val="0"/>
        <w:snapToGrid w:val="0"/>
        <w:spacing w:before="0" w:beforeAutospacing="0" w:after="0" w:afterAutospacing="0" w:line="570" w:lineRule="exact"/>
        <w:ind w:firstLineChars="200" w:firstLine="640"/>
        <w:jc w:val="both"/>
        <w:rPr>
          <w:rFonts w:ascii="仿宋_GB2312" w:eastAsia="仿宋_GB2312" w:hAnsi="仿宋_GB2312" w:cs="仿宋_GB2312"/>
          <w:kern w:val="2"/>
          <w:sz w:val="32"/>
          <w:szCs w:val="32"/>
        </w:rPr>
      </w:pPr>
      <w:r w:rsidRPr="001B29E9">
        <w:rPr>
          <w:rFonts w:ascii="仿宋_GB2312" w:eastAsia="仿宋_GB2312" w:hAnsi="仿宋_GB2312" w:cs="仿宋_GB2312" w:hint="eastAsia"/>
          <w:kern w:val="2"/>
          <w:sz w:val="32"/>
          <w:szCs w:val="32"/>
        </w:rPr>
        <w:t>无。</w:t>
      </w:r>
    </w:p>
    <w:sectPr w:rsidR="00865BA1" w:rsidRPr="001B29E9" w:rsidSect="00865BA1">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955" w:rsidRDefault="00E25955" w:rsidP="008F37C1">
      <w:r>
        <w:separator/>
      </w:r>
    </w:p>
  </w:endnote>
  <w:endnote w:type="continuationSeparator" w:id="1">
    <w:p w:rsidR="00E25955" w:rsidRDefault="00E25955" w:rsidP="008F3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955" w:rsidRDefault="00E25955" w:rsidP="008F37C1">
      <w:r>
        <w:separator/>
      </w:r>
    </w:p>
  </w:footnote>
  <w:footnote w:type="continuationSeparator" w:id="1">
    <w:p w:rsidR="00E25955" w:rsidRDefault="00E25955" w:rsidP="008F37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65E5"/>
    <w:rsid w:val="000160A3"/>
    <w:rsid w:val="000C31BC"/>
    <w:rsid w:val="00140C08"/>
    <w:rsid w:val="001B29E9"/>
    <w:rsid w:val="003065E5"/>
    <w:rsid w:val="0031499B"/>
    <w:rsid w:val="0041410F"/>
    <w:rsid w:val="00504B47"/>
    <w:rsid w:val="00552954"/>
    <w:rsid w:val="006D2D9A"/>
    <w:rsid w:val="0072791C"/>
    <w:rsid w:val="007563FB"/>
    <w:rsid w:val="00800C08"/>
    <w:rsid w:val="008021D8"/>
    <w:rsid w:val="00850857"/>
    <w:rsid w:val="00865BA1"/>
    <w:rsid w:val="008D70FC"/>
    <w:rsid w:val="008F37C1"/>
    <w:rsid w:val="00991C9C"/>
    <w:rsid w:val="00995851"/>
    <w:rsid w:val="009D33D8"/>
    <w:rsid w:val="00A2754F"/>
    <w:rsid w:val="00A71822"/>
    <w:rsid w:val="00AE0EBB"/>
    <w:rsid w:val="00AF3E72"/>
    <w:rsid w:val="00B03CCB"/>
    <w:rsid w:val="00BF32AF"/>
    <w:rsid w:val="00BF4BBA"/>
    <w:rsid w:val="00C45937"/>
    <w:rsid w:val="00C574B0"/>
    <w:rsid w:val="00C83E0E"/>
    <w:rsid w:val="00C94E0B"/>
    <w:rsid w:val="00CD30FE"/>
    <w:rsid w:val="00CE7108"/>
    <w:rsid w:val="00D41066"/>
    <w:rsid w:val="00DC6E1D"/>
    <w:rsid w:val="00DD4942"/>
    <w:rsid w:val="00DE3E49"/>
    <w:rsid w:val="00E25955"/>
    <w:rsid w:val="00F32751"/>
    <w:rsid w:val="00F52851"/>
    <w:rsid w:val="00F95CE1"/>
    <w:rsid w:val="00FC5723"/>
    <w:rsid w:val="03851AB0"/>
    <w:rsid w:val="06F7016C"/>
    <w:rsid w:val="092C062A"/>
    <w:rsid w:val="097158D2"/>
    <w:rsid w:val="09F41DD4"/>
    <w:rsid w:val="0C2D5AFB"/>
    <w:rsid w:val="0C724F34"/>
    <w:rsid w:val="11286187"/>
    <w:rsid w:val="132E5440"/>
    <w:rsid w:val="15DE3D68"/>
    <w:rsid w:val="1640373D"/>
    <w:rsid w:val="19464F83"/>
    <w:rsid w:val="1B207EDE"/>
    <w:rsid w:val="1B9C6383"/>
    <w:rsid w:val="1F64400E"/>
    <w:rsid w:val="21755EAB"/>
    <w:rsid w:val="22153C0B"/>
    <w:rsid w:val="237130A0"/>
    <w:rsid w:val="24327D13"/>
    <w:rsid w:val="2486074D"/>
    <w:rsid w:val="248622C7"/>
    <w:rsid w:val="2495105E"/>
    <w:rsid w:val="249B217E"/>
    <w:rsid w:val="2846070C"/>
    <w:rsid w:val="2A2C70D3"/>
    <w:rsid w:val="2A745BB3"/>
    <w:rsid w:val="2BE37527"/>
    <w:rsid w:val="2D565193"/>
    <w:rsid w:val="2DBB1DE0"/>
    <w:rsid w:val="317075B6"/>
    <w:rsid w:val="31E7242E"/>
    <w:rsid w:val="31F255BE"/>
    <w:rsid w:val="328D1D02"/>
    <w:rsid w:val="36257B32"/>
    <w:rsid w:val="36E50CB1"/>
    <w:rsid w:val="371141E5"/>
    <w:rsid w:val="37F3260F"/>
    <w:rsid w:val="389976BA"/>
    <w:rsid w:val="3AA56A67"/>
    <w:rsid w:val="3B1B2B0E"/>
    <w:rsid w:val="3BA2385D"/>
    <w:rsid w:val="3DE95DBD"/>
    <w:rsid w:val="3E4F541F"/>
    <w:rsid w:val="3E9D4F7E"/>
    <w:rsid w:val="3F02192B"/>
    <w:rsid w:val="406A4283"/>
    <w:rsid w:val="40E42045"/>
    <w:rsid w:val="41F00672"/>
    <w:rsid w:val="425800E3"/>
    <w:rsid w:val="428C4C59"/>
    <w:rsid w:val="43DE032F"/>
    <w:rsid w:val="44EE642C"/>
    <w:rsid w:val="47545326"/>
    <w:rsid w:val="48763D23"/>
    <w:rsid w:val="49781401"/>
    <w:rsid w:val="49A56D92"/>
    <w:rsid w:val="4E485F04"/>
    <w:rsid w:val="4F9D07B7"/>
    <w:rsid w:val="5072348C"/>
    <w:rsid w:val="51C95A1E"/>
    <w:rsid w:val="53205174"/>
    <w:rsid w:val="53D421F5"/>
    <w:rsid w:val="65334FC9"/>
    <w:rsid w:val="656E7A35"/>
    <w:rsid w:val="65736368"/>
    <w:rsid w:val="65F44AED"/>
    <w:rsid w:val="689F2447"/>
    <w:rsid w:val="6B0E5BE1"/>
    <w:rsid w:val="6C472CC1"/>
    <w:rsid w:val="6D2B0B4F"/>
    <w:rsid w:val="6E4E0803"/>
    <w:rsid w:val="6F787C53"/>
    <w:rsid w:val="709C0FA1"/>
    <w:rsid w:val="72576715"/>
    <w:rsid w:val="748C6026"/>
    <w:rsid w:val="75EA3FCE"/>
    <w:rsid w:val="76741AE2"/>
    <w:rsid w:val="78E150F8"/>
    <w:rsid w:val="79B64F75"/>
    <w:rsid w:val="7AA264DE"/>
    <w:rsid w:val="7C731CB1"/>
    <w:rsid w:val="7EBF05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BA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65BA1"/>
    <w:rPr>
      <w:sz w:val="18"/>
      <w:szCs w:val="18"/>
    </w:rPr>
  </w:style>
  <w:style w:type="paragraph" w:styleId="a4">
    <w:name w:val="footer"/>
    <w:basedOn w:val="a"/>
    <w:link w:val="Char0"/>
    <w:qFormat/>
    <w:rsid w:val="00865BA1"/>
    <w:pPr>
      <w:tabs>
        <w:tab w:val="center" w:pos="4153"/>
        <w:tab w:val="right" w:pos="8306"/>
      </w:tabs>
      <w:snapToGrid w:val="0"/>
      <w:jc w:val="left"/>
    </w:pPr>
    <w:rPr>
      <w:sz w:val="18"/>
      <w:szCs w:val="18"/>
    </w:rPr>
  </w:style>
  <w:style w:type="paragraph" w:styleId="a5">
    <w:name w:val="header"/>
    <w:basedOn w:val="a"/>
    <w:link w:val="Char1"/>
    <w:qFormat/>
    <w:rsid w:val="00865BA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65BA1"/>
    <w:pPr>
      <w:spacing w:before="100" w:beforeAutospacing="1" w:after="100" w:afterAutospacing="1"/>
      <w:jc w:val="left"/>
    </w:pPr>
    <w:rPr>
      <w:kern w:val="0"/>
      <w:sz w:val="24"/>
    </w:rPr>
  </w:style>
  <w:style w:type="character" w:styleId="a7">
    <w:name w:val="Strong"/>
    <w:basedOn w:val="a0"/>
    <w:qFormat/>
    <w:rsid w:val="00865BA1"/>
    <w:rPr>
      <w:b/>
    </w:rPr>
  </w:style>
  <w:style w:type="character" w:styleId="a8">
    <w:name w:val="FollowedHyperlink"/>
    <w:basedOn w:val="a0"/>
    <w:rsid w:val="00865BA1"/>
    <w:rPr>
      <w:color w:val="333333"/>
      <w:u w:val="none"/>
    </w:rPr>
  </w:style>
  <w:style w:type="character" w:styleId="a9">
    <w:name w:val="Hyperlink"/>
    <w:basedOn w:val="a0"/>
    <w:rsid w:val="00865BA1"/>
    <w:rPr>
      <w:color w:val="333333"/>
      <w:u w:val="none"/>
    </w:rPr>
  </w:style>
  <w:style w:type="character" w:customStyle="1" w:styleId="Char1">
    <w:name w:val="页眉 Char"/>
    <w:basedOn w:val="a0"/>
    <w:link w:val="a5"/>
    <w:qFormat/>
    <w:rsid w:val="00865BA1"/>
    <w:rPr>
      <w:rFonts w:ascii="Calibri" w:hAnsi="Calibri"/>
      <w:kern w:val="2"/>
      <w:sz w:val="18"/>
      <w:szCs w:val="18"/>
    </w:rPr>
  </w:style>
  <w:style w:type="character" w:customStyle="1" w:styleId="Char0">
    <w:name w:val="页脚 Char"/>
    <w:basedOn w:val="a0"/>
    <w:link w:val="a4"/>
    <w:qFormat/>
    <w:rsid w:val="00865BA1"/>
    <w:rPr>
      <w:rFonts w:ascii="Calibri" w:hAnsi="Calibri"/>
      <w:kern w:val="2"/>
      <w:sz w:val="18"/>
      <w:szCs w:val="18"/>
    </w:rPr>
  </w:style>
  <w:style w:type="character" w:customStyle="1" w:styleId="Char">
    <w:name w:val="批注框文本 Char"/>
    <w:basedOn w:val="a0"/>
    <w:link w:val="a3"/>
    <w:rsid w:val="00865BA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26612;&#26519;&#24311;\&#20844;&#25991;\20210119&#25919;&#24220;&#20449;&#24687;&#20844;&#24320;&#24180;&#24230;&#25253;&#21578;\&#20449;&#24687;&#20844;&#24320;&#25968;&#37327;&#32479;&#3574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612;&#26519;&#24311;\&#20844;&#25991;\20210119&#25919;&#24220;&#20449;&#24687;&#20844;&#24320;&#24180;&#24230;&#25253;&#21578;\2020&#24180;&#24230;&#36864;&#24441;&#20891;&#20154;&#20107;&#21153;&#23616;&#20449;&#24687;&#20844;&#24320;&#24180;&#24230;&#25253;&#21578;\2020&#24180;&#24230;&#20449;&#24687;&#20844;&#24320;&#25968;&#37327;&#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0"/>
  <c:chart>
    <c:autoTitleDeleted val="1"/>
    <c:plotArea>
      <c:layout>
        <c:manualLayout>
          <c:layoutTarget val="inner"/>
          <c:xMode val="edge"/>
          <c:yMode val="edge"/>
          <c:x val="5.9914374608499424E-2"/>
          <c:y val="8.6355762350030355E-2"/>
          <c:w val="0.57635975749913915"/>
          <c:h val="0.76832545281243214"/>
        </c:manualLayout>
      </c:layout>
      <c:pieChart>
        <c:varyColors val="1"/>
        <c:ser>
          <c:idx val="1"/>
          <c:order val="1"/>
          <c:cat>
            <c:strRef>
              <c:f>Sheet1!$A$19:$C$19</c:f>
              <c:strCache>
                <c:ptCount val="3"/>
                <c:pt idx="0">
                  <c:v>政府公开</c:v>
                </c:pt>
                <c:pt idx="1">
                  <c:v>网站子点</c:v>
                </c:pt>
                <c:pt idx="2">
                  <c:v>政务新媒体</c:v>
                </c:pt>
              </c:strCache>
            </c:strRef>
          </c:cat>
          <c:val>
            <c:numRef>
              <c:f>Sheet1!$A$20:$C$20</c:f>
              <c:numCache>
                <c:formatCode>General</c:formatCode>
                <c:ptCount val="3"/>
                <c:pt idx="0">
                  <c:v>13</c:v>
                </c:pt>
                <c:pt idx="1">
                  <c:v>146</c:v>
                </c:pt>
                <c:pt idx="2">
                  <c:v>63</c:v>
                </c:pt>
              </c:numCache>
            </c:numRef>
          </c:val>
        </c:ser>
        <c:ser>
          <c:idx val="0"/>
          <c:order val="0"/>
          <c:cat>
            <c:strRef>
              <c:f>Sheet1!$A$19:$C$19</c:f>
              <c:strCache>
                <c:ptCount val="3"/>
                <c:pt idx="0">
                  <c:v>政府公开</c:v>
                </c:pt>
                <c:pt idx="1">
                  <c:v>网站子点</c:v>
                </c:pt>
                <c:pt idx="2">
                  <c:v>政务新媒体</c:v>
                </c:pt>
              </c:strCache>
            </c:strRef>
          </c:cat>
          <c:val>
            <c:numRef>
              <c:f>Sheet1!$A$20:$C$20</c:f>
              <c:numCache>
                <c:formatCode>General</c:formatCode>
                <c:ptCount val="3"/>
                <c:pt idx="0">
                  <c:v>13</c:v>
                </c:pt>
                <c:pt idx="1">
                  <c:v>146</c:v>
                </c:pt>
                <c:pt idx="2">
                  <c:v>63</c:v>
                </c:pt>
              </c:numCache>
            </c:numRef>
          </c:val>
        </c:ser>
        <c:firstSliceAng val="0"/>
      </c:pieChart>
      <c:spPr>
        <a:solidFill>
          <a:srgbClr val="9BBB59">
            <a:lumMod val="20000"/>
            <a:lumOff val="80000"/>
          </a:srgbClr>
        </a:solidFill>
      </c:spPr>
    </c:plotArea>
    <c:legend>
      <c:legendPos val="r"/>
      <c:layout>
        <c:manualLayout>
          <c:xMode val="edge"/>
          <c:yMode val="edge"/>
          <c:x val="0.682869605505116"/>
          <c:y val="0.25461867335246302"/>
          <c:w val="0.28396011713213032"/>
          <c:h val="0.49347049203416476"/>
        </c:manualLayout>
      </c:layout>
      <c:txPr>
        <a:bodyPr rot="0" spcFirstLastPara="0" vertOverflow="ellipsis" vert="horz" wrap="square" anchor="ctr" anchorCtr="1"/>
        <a:lstStyle/>
        <a:p>
          <a:pPr>
            <a:defRPr lang="zh-CN" sz="1200" b="0" i="0" u="none" strike="noStrike" kern="1200" baseline="0">
              <a:solidFill>
                <a:schemeClr val="tx1"/>
              </a:solidFill>
              <a:latin typeface="+mn-lt"/>
              <a:ea typeface="+mn-ea"/>
              <a:cs typeface="+mn-cs"/>
            </a:defRPr>
          </a:pPr>
          <a:endParaRPr lang="zh-CN"/>
        </a:p>
      </c:txPr>
    </c:legend>
    <c:plotVisOnly val="1"/>
    <c:dispBlanksAs val="zero"/>
  </c:chart>
  <c:spPr>
    <a:solidFill>
      <a:schemeClr val="accent3">
        <a:lumMod val="20000"/>
        <a:lumOff val="80000"/>
      </a:schemeClr>
    </a:solidFill>
    <a:ln w="9525" cap="flat" cmpd="sng" algn="ctr">
      <a:solidFill>
        <a:schemeClr val="accent3"/>
      </a:solidFill>
      <a:prstDash val="solid"/>
      <a:round/>
    </a:ln>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8.5946631671041121E-2"/>
          <c:y val="7.4548702245552628E-2"/>
          <c:w val="0.87794225721784913"/>
          <c:h val="0.79454469233012703"/>
        </c:manualLayout>
      </c:layout>
      <c:barChart>
        <c:barDir val="col"/>
        <c:grouping val="clustered"/>
        <c:ser>
          <c:idx val="1"/>
          <c:order val="1"/>
          <c:cat>
            <c:multiLvlStrRef>
              <c:f>Sheet1!$A$34:$F$34</c:f>
            </c:multiLvlStrRef>
          </c:cat>
          <c:val>
            <c:numRef>
              <c:f>Sheet1!$A$35:$F$35</c:f>
            </c:numRef>
          </c:val>
        </c:ser>
        <c:ser>
          <c:idx val="0"/>
          <c:order val="0"/>
          <c:cat>
            <c:strRef>
              <c:f>[2020年度信息公开数量统计.xlsx]Sheet1!$A$34:$F$34</c:f>
              <c:strCache>
                <c:ptCount val="6"/>
                <c:pt idx="0">
                  <c:v>政务公开</c:v>
                </c:pt>
                <c:pt idx="1">
                  <c:v>机构职能</c:v>
                </c:pt>
                <c:pt idx="2">
                  <c:v>领导信息</c:v>
                </c:pt>
                <c:pt idx="3">
                  <c:v>行政权力</c:v>
                </c:pt>
                <c:pt idx="4">
                  <c:v>财政信息</c:v>
                </c:pt>
                <c:pt idx="5">
                  <c:v>行政执法</c:v>
                </c:pt>
              </c:strCache>
            </c:strRef>
          </c:cat>
          <c:val>
            <c:numRef>
              <c:f>[2020年度信息公开数量统计.xlsx]Sheet1!$A$35:$F$35</c:f>
              <c:numCache>
                <c:formatCode>General</c:formatCode>
                <c:ptCount val="6"/>
                <c:pt idx="0">
                  <c:v>2</c:v>
                </c:pt>
                <c:pt idx="1">
                  <c:v>2</c:v>
                </c:pt>
                <c:pt idx="2">
                  <c:v>1</c:v>
                </c:pt>
                <c:pt idx="3">
                  <c:v>2</c:v>
                </c:pt>
                <c:pt idx="4">
                  <c:v>4</c:v>
                </c:pt>
                <c:pt idx="5">
                  <c:v>2</c:v>
                </c:pt>
              </c:numCache>
            </c:numRef>
          </c:val>
        </c:ser>
        <c:axId val="131177088"/>
        <c:axId val="131347968"/>
      </c:barChart>
      <c:catAx>
        <c:axId val="131177088"/>
        <c:scaling>
          <c:orientation val="minMax"/>
        </c:scaling>
        <c:axPos val="b"/>
        <c:tickLblPos val="nextTo"/>
        <c:txPr>
          <a:bodyPr/>
          <a:lstStyle/>
          <a:p>
            <a:pPr>
              <a:defRPr>
                <a:solidFill>
                  <a:schemeClr val="tx1"/>
                </a:solidFill>
              </a:defRPr>
            </a:pPr>
            <a:endParaRPr lang="zh-CN"/>
          </a:p>
        </c:txPr>
        <c:crossAx val="131347968"/>
        <c:crosses val="autoZero"/>
        <c:auto val="1"/>
        <c:lblAlgn val="ctr"/>
        <c:lblOffset val="100"/>
      </c:catAx>
      <c:valAx>
        <c:axId val="131347968"/>
        <c:scaling>
          <c:orientation val="minMax"/>
        </c:scaling>
        <c:axPos val="l"/>
        <c:majorGridlines/>
        <c:numFmt formatCode="General" sourceLinked="1"/>
        <c:tickLblPos val="nextTo"/>
        <c:crossAx val="131177088"/>
        <c:crosses val="autoZero"/>
        <c:crossBetween val="between"/>
      </c:valAx>
      <c:spPr>
        <a:solidFill>
          <a:schemeClr val="accent3">
            <a:lumMod val="40000"/>
            <a:lumOff val="60000"/>
          </a:schemeClr>
        </a:solidFill>
        <a:ln>
          <a:noFill/>
        </a:ln>
      </c:spPr>
    </c:plotArea>
    <c:plotVisOnly val="1"/>
  </c:chart>
  <c:spPr>
    <a:solidFill>
      <a:srgbClr val="9BBB59">
        <a:lumMod val="40000"/>
        <a:lumOff val="60000"/>
      </a:srgbClr>
    </a:solidFill>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c:creator>
  <cp:lastModifiedBy>lenovo</cp:lastModifiedBy>
  <cp:revision>11</cp:revision>
  <cp:lastPrinted>2021-01-26T00:40:00Z</cp:lastPrinted>
  <dcterms:created xsi:type="dcterms:W3CDTF">2021-01-19T03:06:00Z</dcterms:created>
  <dcterms:modified xsi:type="dcterms:W3CDTF">2021-01-27T01:41:00Z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