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3B" w:rsidRDefault="00B95B3B" w:rsidP="00316122">
      <w:pPr>
        <w:spacing w:line="640" w:lineRule="exact"/>
        <w:ind w:rightChars="-50" w:right="-100"/>
        <w:jc w:val="center"/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</w:pPr>
    </w:p>
    <w:p w:rsidR="004628A8" w:rsidRDefault="003E04AE" w:rsidP="00316122">
      <w:pPr>
        <w:spacing w:line="640" w:lineRule="exact"/>
        <w:ind w:rightChars="-50" w:right="-10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  <w:t>曲阜市投资促进服务中心</w:t>
      </w:r>
    </w:p>
    <w:p w:rsidR="00B52585" w:rsidRDefault="003E04AE" w:rsidP="00316122">
      <w:pPr>
        <w:spacing w:line="640" w:lineRule="exact"/>
        <w:ind w:rightChars="-50" w:right="-10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  <w:t>2021年政府信息公开工作年度报告</w:t>
      </w:r>
    </w:p>
    <w:p w:rsidR="00B52585" w:rsidRDefault="00B52585">
      <w:pPr>
        <w:spacing w:line="590" w:lineRule="exact"/>
        <w:ind w:rightChars="-50" w:right="-100" w:firstLineChars="200" w:firstLine="643"/>
        <w:rPr>
          <w:rFonts w:ascii="方正仿宋简体" w:eastAsia="方正仿宋简体"/>
          <w:b/>
          <w:color w:val="000000" w:themeColor="text1"/>
          <w:sz w:val="32"/>
          <w:szCs w:val="32"/>
        </w:rPr>
      </w:pP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仿宋简体" w:eastAsia="方正仿宋简体" w:hint="eastAsia"/>
          <w:b/>
          <w:snapToGrid w:val="0"/>
          <w:color w:val="000000" w:themeColor="text1"/>
          <w:sz w:val="32"/>
          <w:szCs w:val="32"/>
        </w:rPr>
        <w:t>本报告由曲阜市投资促进服务中心按照《中华人民共和国政府信息公开条例》（以下简称《条例》）和《中华人民共和国政府信息公开工作年度报告格式》（国办公开办函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〔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〕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30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号）要求编制。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本报告所列数据的统计期限自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年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月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日起至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年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12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月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31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日止。本报告电子版可在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“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中国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·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曲阜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”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政府门户网站（具体网址）查阅或下载。如对本报告有疑问，请与</w:t>
      </w:r>
      <w:r w:rsidR="004766C6"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曲阜市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投资促进服务中心联系（地址：春秋中路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号曲阜市政府，联系电话：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0537-4498828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）。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一、总体情况</w:t>
      </w:r>
    </w:p>
    <w:p w:rsidR="00B52585" w:rsidRPr="004628A8" w:rsidRDefault="004628A8" w:rsidP="004628A8">
      <w:pPr>
        <w:pStyle w:val="a3"/>
        <w:widowControl w:val="0"/>
        <w:shd w:val="clear" w:color="auto" w:fill="FFFFFF"/>
        <w:topLinePunct/>
        <w:adjustRightInd w:val="0"/>
        <w:snapToGrid w:val="0"/>
        <w:spacing w:before="0" w:beforeAutospacing="0" w:after="0" w:afterAutospacing="0" w:line="570" w:lineRule="exact"/>
        <w:ind w:firstLine="200"/>
        <w:jc w:val="both"/>
        <w:textAlignment w:val="baseline"/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b/>
          <w:snapToGrid w:val="0"/>
          <w:color w:val="000000" w:themeColor="text1"/>
          <w:sz w:val="32"/>
          <w:szCs w:val="32"/>
        </w:rPr>
        <w:t xml:space="preserve">   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2021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年，在</w:t>
      </w:r>
      <w:r w:rsidR="004766C6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曲阜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市委、市政府的坚强领导和市政府信息公开办公室的具体指导下，</w:t>
      </w:r>
      <w:r w:rsidR="004766C6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曲阜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市投资促进服务中心认真贯彻落实《中华人民共和国政府信息公开条例》和《山东省政府信息公开办法》，坚持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“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公开为常态、不公开为例外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”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原则，紧紧围绕全市</w:t>
      </w:r>
      <w:r w:rsidR="003E04AE"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lastRenderedPageBreak/>
        <w:t>招商引资工作，全面推进决策公开、执行公开、管理公开、服务公开、结果公开，及时更新、发布群众普遍关心的招商引资工作进展，不断提高招商引资经济领域透明度。政务公开工作制度化、规范化水平显著提升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楷体简体" w:eastAsia="方正楷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楷体简体" w:eastAsia="方正楷体简体" w:hint="eastAsia"/>
          <w:b/>
          <w:snapToGrid w:val="0"/>
          <w:color w:val="000000" w:themeColor="text1"/>
          <w:sz w:val="32"/>
          <w:szCs w:val="32"/>
        </w:rPr>
        <w:t>（一）主动公开情况</w:t>
      </w:r>
    </w:p>
    <w:p w:rsidR="00B52585" w:rsidRPr="00795FC9" w:rsidRDefault="003E04AE" w:rsidP="004628A8">
      <w:pPr>
        <w:pStyle w:val="a3"/>
        <w:widowControl w:val="0"/>
        <w:shd w:val="clear" w:color="auto" w:fill="FFFFFF"/>
        <w:topLinePunct/>
        <w:adjustRightInd w:val="0"/>
        <w:snapToGrid w:val="0"/>
        <w:spacing w:before="0" w:beforeAutospacing="0" w:after="0" w:afterAutospacing="0" w:line="570" w:lineRule="exact"/>
        <w:ind w:firstLineChars="200" w:firstLine="643"/>
        <w:jc w:val="both"/>
        <w:textAlignment w:val="baseline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 w:rsidRPr="004628A8">
        <w:rPr>
          <w:rFonts w:ascii="方正仿宋简体" w:eastAsia="方正仿宋简体" w:hAnsi="Times New Roman" w:cs="Times New Roman" w:hint="eastAsia"/>
          <w:b/>
          <w:snapToGrid w:val="0"/>
          <w:color w:val="000000" w:themeColor="text1"/>
          <w:sz w:val="32"/>
          <w:szCs w:val="32"/>
        </w:rPr>
        <w:t>按照“以公开为常态、不公开为例外”原则，全面推进决策、执行、管理、服务和结果“五公开”，优化公开目录，丰富公开内容，主动公开各类政府信息，确保“应公开尽公开”。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年，曲阜市投资促进服务中心通过各类媒体平台发布信息共计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519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条，其中通过曲阜市门户网站政务公开栏目主动公开各类信息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16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条，占比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3%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；通过网站子</w:t>
      </w:r>
      <w:proofErr w:type="gramStart"/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点发布</w:t>
      </w:r>
      <w:proofErr w:type="gramEnd"/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各类信息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249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条，占比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48%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；通过</w:t>
      </w:r>
      <w:proofErr w:type="gramStart"/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微信公众号</w:t>
      </w:r>
      <w:proofErr w:type="gramEnd"/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“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曲阜市投资促进发展中心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”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发布信息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254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条，占比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49%</w:t>
      </w:r>
      <w:r w:rsidRPr="004628A8">
        <w:rPr>
          <w:rFonts w:ascii="Times New Roman" w:eastAsia="方正仿宋简体" w:hAnsi="Times New Roman" w:cs="Times New Roman"/>
          <w:b/>
          <w:snapToGrid w:val="0"/>
          <w:color w:val="000000" w:themeColor="text1"/>
          <w:sz w:val="32"/>
          <w:szCs w:val="32"/>
        </w:rPr>
        <w:t>。</w:t>
      </w:r>
    </w:p>
    <w:p w:rsidR="00B52585" w:rsidRDefault="003E04AE">
      <w:pPr>
        <w:pStyle w:val="a3"/>
        <w:shd w:val="clear" w:color="auto" w:fill="FFFFFF"/>
        <w:spacing w:before="0" w:beforeAutospacing="0" w:after="0" w:afterAutospacing="0"/>
        <w:ind w:firstLineChars="400" w:firstLine="1285"/>
        <w:jc w:val="both"/>
        <w:rPr>
          <w:rFonts w:ascii="方正仿宋简体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b/>
          <w:noProof/>
          <w:color w:val="000000" w:themeColor="text1"/>
          <w:sz w:val="32"/>
          <w:szCs w:val="32"/>
        </w:rPr>
        <w:drawing>
          <wp:inline distT="0" distB="0" distL="114300" distR="114300">
            <wp:extent cx="3619500" cy="2540635"/>
            <wp:effectExtent l="4445" t="4445" r="14605" b="762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方正仿宋简体" w:eastAsia="方正仿宋简体" w:hAnsi="Times New Roman" w:cs="Times New Roman" w:hint="eastAsia"/>
          <w:b/>
          <w:color w:val="000000" w:themeColor="text1"/>
          <w:sz w:val="32"/>
          <w:szCs w:val="32"/>
        </w:rPr>
        <w:t> </w:t>
      </w:r>
    </w:p>
    <w:p w:rsidR="00B52585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全年共接到网络问政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5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件、已回复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5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件，办结率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100%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。参与《政风行风热线》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次，《为民服务》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次，主要负责同志参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lastRenderedPageBreak/>
        <w:t>加《问政济宁》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次，参加政府网站在线访谈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次。</w:t>
      </w:r>
    </w:p>
    <w:p w:rsidR="00B52585" w:rsidRDefault="003E04AE">
      <w:pPr>
        <w:pStyle w:val="a3"/>
        <w:shd w:val="clear" w:color="auto" w:fill="FFFFFF"/>
        <w:spacing w:before="0" w:beforeAutospacing="0" w:after="0" w:afterAutospacing="0"/>
        <w:jc w:val="both"/>
        <w:rPr>
          <w:rFonts w:ascii="方正楷体简体" w:eastAsia="方正楷体简体"/>
          <w:b/>
          <w:color w:val="000000" w:themeColor="text1"/>
          <w:sz w:val="32"/>
          <w:szCs w:val="32"/>
        </w:rPr>
      </w:pPr>
      <w:r>
        <w:rPr>
          <w:rFonts w:ascii="方正楷体简体" w:eastAsia="方正楷体简体" w:hint="eastAsia"/>
          <w:b/>
          <w:noProof/>
          <w:color w:val="000000" w:themeColor="text1"/>
          <w:sz w:val="32"/>
          <w:szCs w:val="32"/>
        </w:rPr>
        <w:drawing>
          <wp:inline distT="0" distB="0" distL="114300" distR="114300">
            <wp:extent cx="5080000" cy="3810000"/>
            <wp:effectExtent l="4445" t="4445" r="2095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楷体简体" w:eastAsia="方正楷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楷体简体" w:eastAsia="方正楷体简体" w:hint="eastAsia"/>
          <w:b/>
          <w:snapToGrid w:val="0"/>
          <w:color w:val="000000" w:themeColor="text1"/>
          <w:sz w:val="32"/>
          <w:szCs w:val="32"/>
        </w:rPr>
        <w:t>（二）依申请公开情况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1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、收到和处理政府信息公开申请情况。在编制的《曲阜市投资促进服务中心政府信息公开指南》中，对依申请公开工作的程序、申请方式、答复方式、答复时限等做了详细规定。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年，共收到政府信息公开申请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0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件。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、收费减免情况。根据财政部、国家发展改革委联合印发的《关于清理规范一批行政事业性收费有关政策的通知》规定，本年度本单位依申请公开政府信息未向申请人收取任何费用。</w:t>
      </w:r>
    </w:p>
    <w:p w:rsidR="00B52585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3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、政府信息公开行政复议、行政诉讼情况。本年度未收到以政府信息公开为由提起的行政复议和行政诉讼。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楷体简体" w:eastAsia="方正楷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楷体简体" w:eastAsia="方正楷体简体" w:hint="eastAsia"/>
          <w:b/>
          <w:snapToGrid w:val="0"/>
          <w:color w:val="000000" w:themeColor="text1"/>
          <w:sz w:val="32"/>
          <w:szCs w:val="32"/>
        </w:rPr>
        <w:lastRenderedPageBreak/>
        <w:t>（三）政府信息管理情况</w:t>
      </w:r>
    </w:p>
    <w:p w:rsidR="00B52585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严格遵循“谁公开谁审查、谁审查谁负责”和“先审查、后公开”的原则，指定专人负责，全力做好需公开政府信息的保密审查工作。认真落实公开属性源头认定机制，制发的文件对公开属性进行明确标识，从源头上保障了公开信息不涉密、涉密信息不公开。建立政府信息公开保密审查工作机制，凡是主动公开的政府信息统一填报《政府信息公开审核表》，经层层把关，最后经主要负责人签字同意后公开。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年，</w:t>
      </w:r>
      <w:r w:rsidR="00372C82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曲阜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市投资促进服务中心未发生政府信息公开泄密事件。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楷体简体" w:eastAsia="方正楷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楷体简体" w:eastAsia="方正楷体简体" w:hint="eastAsia"/>
          <w:b/>
          <w:snapToGrid w:val="0"/>
          <w:color w:val="000000" w:themeColor="text1"/>
          <w:sz w:val="32"/>
          <w:szCs w:val="32"/>
        </w:rPr>
        <w:t>（四）政府信息公开平台建设情况</w:t>
      </w:r>
    </w:p>
    <w:p w:rsidR="00B52585" w:rsidRDefault="00372C82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曲阜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市投资促进服务中心办公室是本单位的政府信息公开工作机构，现有工作人员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4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人，其中负责受理信息公开申请的兼职工作人员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1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人，负责网站子点新闻发布、新媒体日常内容保障的兼职工作人员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人，负责政务信息公开兼职工作人员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1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人。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楷体简体" w:eastAsia="方正楷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楷体简体" w:eastAsia="方正楷体简体" w:hint="eastAsia"/>
          <w:b/>
          <w:snapToGrid w:val="0"/>
          <w:color w:val="000000" w:themeColor="text1"/>
          <w:sz w:val="32"/>
          <w:szCs w:val="32"/>
        </w:rPr>
        <w:t>（五）监督保障情况</w:t>
      </w:r>
    </w:p>
    <w:p w:rsidR="00B52585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高度重视对全市招商引资领域政务公开和信息公开工作的指导监督，要求各科室认真落实“放管服”改革任务，推动行政权力运行公开；继续全面推进“五公开”；聚焦群众关切，强化政策解读和舆情回应；明确了中心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政务公开的重点工作及各科室的职责分工，着力推动行政权力全过程公开、公共服务全流程公开、社会关切全方位回应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；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根据机构改革和人员变动情况，及时</w:t>
      </w:r>
      <w:proofErr w:type="gramStart"/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调整局政务</w:t>
      </w:r>
      <w:proofErr w:type="gramEnd"/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公开领导小组，切实加强政务公开的组织领导。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进一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lastRenderedPageBreak/>
        <w:t>步提高我市招商引资信息公开工作制度化、规范化，营造起招商引资、招才引智的良好氛围。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二、主动公开政府信息情况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33"/>
        <w:gridCol w:w="2216"/>
        <w:gridCol w:w="1989"/>
      </w:tblGrid>
      <w:tr w:rsidR="00B52585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 xml:space="preserve">　　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 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 xml:space="preserve">　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11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 xml:space="preserve">　　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 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 xml:space="preserve">　</w:t>
            </w: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40" w:lineRule="exact"/>
              <w:jc w:val="left"/>
              <w:rPr>
                <w:rFonts w:eastAsia="方正仿宋简体"/>
                <w:b/>
                <w:sz w:val="24"/>
                <w:szCs w:val="24"/>
              </w:rPr>
            </w:pPr>
            <w:r w:rsidRPr="004628A8">
              <w:rPr>
                <w:rFonts w:eastAsia="方正仿宋简体"/>
                <w:b/>
                <w:sz w:val="24"/>
                <w:szCs w:val="24"/>
                <w:lang w:bidi="ar"/>
              </w:rPr>
              <w:t> 0</w:t>
            </w:r>
          </w:p>
        </w:tc>
      </w:tr>
      <w:tr w:rsidR="00B52585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Calibri" w:cs="Calibri" w:hint="eastAsia"/>
                <w:b/>
                <w:sz w:val="24"/>
                <w:szCs w:val="24"/>
                <w:lang w:bidi="ar"/>
              </w:rPr>
              <w:t> </w:t>
            </w:r>
            <w:r>
              <w:rPr>
                <w:rFonts w:ascii="方正仿宋简体" w:eastAsia="方正仿宋简体" w:hAnsi="Calibri" w:cs="Calibri" w:hint="eastAsia"/>
                <w:b/>
                <w:sz w:val="24"/>
                <w:szCs w:val="24"/>
                <w:lang w:bidi="ar"/>
              </w:rPr>
              <w:t xml:space="preserve">   0</w:t>
            </w:r>
          </w:p>
        </w:tc>
      </w:tr>
      <w:tr w:rsidR="00B52585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 xml:space="preserve">　 0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 xml:space="preserve">　 0</w:t>
            </w:r>
          </w:p>
        </w:tc>
      </w:tr>
      <w:tr w:rsidR="00B52585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:rsidR="00B52585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spacing w:line="340" w:lineRule="exact"/>
              <w:ind w:firstLineChars="100" w:firstLine="241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</w:rPr>
              <w:t>0</w:t>
            </w:r>
          </w:p>
        </w:tc>
      </w:tr>
    </w:tbl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三、收到和处理政府信息公开申请情况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B52585"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楷体" w:cs="楷体" w:hint="eastAsia"/>
                <w:b/>
                <w:sz w:val="21"/>
                <w:szCs w:val="21"/>
                <w:lang w:bidi="ar"/>
              </w:rPr>
              <w:t>（本列数据的勾</w:t>
            </w:r>
            <w:proofErr w:type="gramStart"/>
            <w:r>
              <w:rPr>
                <w:rFonts w:ascii="方正黑体简体" w:eastAsia="方正黑体简体" w:hAnsi="楷体" w:cs="楷体" w:hint="eastAsia"/>
                <w:b/>
                <w:sz w:val="21"/>
                <w:szCs w:val="21"/>
                <w:lang w:bidi="ar"/>
              </w:rPr>
              <w:t>稽</w:t>
            </w:r>
            <w:proofErr w:type="gramEnd"/>
            <w:r>
              <w:rPr>
                <w:rFonts w:ascii="方正黑体简体" w:eastAsia="方正黑体简体" w:hAnsi="楷体" w:cs="楷体" w:hint="eastAsia"/>
                <w:b/>
                <w:sz w:val="21"/>
                <w:szCs w:val="21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:rsidR="00B52585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总计</w:t>
            </w:r>
          </w:p>
        </w:tc>
      </w:tr>
      <w:tr w:rsidR="00B52585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商业</w:t>
            </w:r>
          </w:p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科研</w:t>
            </w:r>
          </w:p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 w:rsidR="00B52585">
        <w:trPr>
          <w:trHeight w:val="424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96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708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ascii="方正仿宋简体" w:eastAsia="方正仿宋简体" w:hAnsi="楷体" w:cs="楷体" w:hint="eastAsia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4628A8" w:rsidRDefault="004628A8" w:rsidP="004628A8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</w:p>
          <w:p w:rsidR="00B52585" w:rsidRPr="004628A8" w:rsidRDefault="003E04AE" w:rsidP="004628A8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3.危及“三安全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（五）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不予处理</w:t>
            </w:r>
            <w:proofErr w:type="gramEnd"/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trHeight w:val="779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1.申请人无正当理由逾期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不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补正、行政机关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不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不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B52585" w:rsidRDefault="00B52585"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  <w:tr w:rsidR="00B52585"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B52585" w:rsidRDefault="003E04AE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  <w:lang w:bidi="ar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B52585" w:rsidRPr="004628A8" w:rsidRDefault="003E04AE"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B52585" w:rsidRPr="004628A8" w:rsidRDefault="003E04AE">
            <w:pPr>
              <w:spacing w:line="300" w:lineRule="exact"/>
              <w:rPr>
                <w:rFonts w:eastAsia="方正仿宋简体"/>
                <w:b/>
                <w:sz w:val="21"/>
                <w:szCs w:val="21"/>
              </w:rPr>
            </w:pPr>
            <w:r w:rsidRPr="004628A8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</w:tbl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四、政府信息公开行政复议、行政诉讼情况</w:t>
      </w:r>
    </w:p>
    <w:tbl>
      <w:tblPr>
        <w:tblW w:w="881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:rsidR="00B52585">
        <w:trPr>
          <w:jc w:val="center"/>
        </w:trPr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行政诉讼</w:t>
            </w:r>
          </w:p>
        </w:tc>
      </w:tr>
      <w:tr w:rsidR="00B52585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尚未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:rsidR="00B52585">
        <w:trPr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40" w:lineRule="exact"/>
              <w:ind w:leftChars="-20" w:left="-40" w:rightChars="-20" w:right="-4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40" w:lineRule="exact"/>
              <w:ind w:leftChars="-20" w:left="-40" w:rightChars="-20" w:right="-4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40" w:lineRule="exact"/>
              <w:ind w:leftChars="-20" w:left="-40" w:rightChars="-20" w:right="-4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40" w:lineRule="exact"/>
              <w:ind w:leftChars="-20" w:left="-40" w:rightChars="-20" w:right="-4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B52585">
            <w:pPr>
              <w:spacing w:line="340" w:lineRule="exact"/>
              <w:ind w:leftChars="-20" w:left="-40" w:rightChars="-20" w:right="-4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尚未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尚未</w:t>
            </w:r>
          </w:p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ascii="方正黑体简体" w:eastAsia="方正黑体简体" w:hAnsi="宋体" w:cs="宋体" w:hint="eastAsia"/>
                <w:b/>
                <w:sz w:val="21"/>
                <w:szCs w:val="21"/>
                <w:lang w:bidi="ar"/>
              </w:rPr>
              <w:t>总计</w:t>
            </w:r>
          </w:p>
        </w:tc>
      </w:tr>
      <w:tr w:rsidR="00B52585">
        <w:trPr>
          <w:trHeight w:val="672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widowControl/>
              <w:spacing w:line="340" w:lineRule="exact"/>
              <w:ind w:leftChars="-20" w:left="-40" w:rightChars="-20" w:right="-40"/>
              <w:jc w:val="center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52585" w:rsidRPr="00446C84" w:rsidRDefault="003E04AE">
            <w:pPr>
              <w:spacing w:line="340" w:lineRule="exact"/>
              <w:ind w:leftChars="-20" w:left="-40" w:rightChars="-20" w:right="-40"/>
              <w:rPr>
                <w:rFonts w:eastAsia="方正黑体简体"/>
                <w:b/>
                <w:sz w:val="21"/>
                <w:szCs w:val="21"/>
              </w:rPr>
            </w:pPr>
            <w:r w:rsidRPr="00446C84">
              <w:rPr>
                <w:rFonts w:eastAsia="方正仿宋简体"/>
                <w:b/>
                <w:sz w:val="21"/>
                <w:szCs w:val="21"/>
              </w:rPr>
              <w:t>0</w:t>
            </w:r>
          </w:p>
        </w:tc>
      </w:tr>
    </w:tbl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五、存在的主要问题及改进情况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年度，</w:t>
      </w:r>
      <w:r w:rsidR="00446C84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曲阜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市投资促进服务中心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政务公开工作在制度机制建设、提升规范化和信息化水平、增强公开实效等方面，取得了一定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的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进展和成效，但对照各级政府政务公开部门的要求，对照人民群众对政务公开的新期待、新要求，仍然存在不足。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主要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lastRenderedPageBreak/>
        <w:t>表现在：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一是个别业务科室对政务公开的重视程度不够。还存在</w:t>
      </w:r>
      <w:r w:rsidR="00446C84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政务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公开不够规范、界定政务信息是公开还是保密尺度把握不准等问题。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二是政府信息公开深度不够。通过制订公开基本目录推进了公开内容的细化，但公开深度不够、内容不全等问题仍然存在。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三是政府信息解读形式不够丰富。内容不够全面细致，解读形式较为单一，以文字解读为主，图文、视频、音频解读等形式较少。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2022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年，我们将继续强化措施，不断开拓创新，做好政府信息公开工作。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针对存在的问题和薄弱环节，深入剖析，进一步加大政务公开工作力度，切实做到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“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以公开为常态，不公开为例外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”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，把政务公开与各项业务工作同步部署、同步推进，增强信息公开实效，提高工作透明度和公信力。</w:t>
      </w:r>
    </w:p>
    <w:p w:rsid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一是把政务公开与公众参与相结合，提高工作效能。积极推进通过政府信息公开，让公众、企业更大程度参与</w:t>
      </w:r>
      <w:r w:rsidR="00446C84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招商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政策制定中去，严格落实重要政策解读和政策制定工作，提高解读的针对性、科学性、可读性和权威性。</w:t>
      </w:r>
    </w:p>
    <w:p w:rsidR="00446C84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二是把政务公开与政务资源信息共享整合相结合，提高信息化水平。积极顺应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“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互联网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+”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发展趋势，健全信息发布更新机制，让社会公众能更加便捷获取政府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招商</w:t>
      </w:r>
      <w:r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信息。</w:t>
      </w:r>
    </w:p>
    <w:p w:rsidR="00B52585" w:rsidRDefault="00446C84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仿宋简体" w:eastAsia="方正仿宋简体"/>
          <w:b/>
          <w:color w:val="000000" w:themeColor="text1"/>
          <w:sz w:val="32"/>
          <w:szCs w:val="32"/>
        </w:rPr>
      </w:pPr>
      <w:r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三是</w:t>
      </w:r>
      <w:r w:rsidR="003E04AE"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进一步规范工作流程，拓展公开形式，不断增强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招商</w:t>
      </w:r>
      <w:r w:rsidR="003E04AE"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信</w:t>
      </w:r>
      <w:r w:rsidR="003E04AE"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lastRenderedPageBreak/>
        <w:t>息公开时效，切实保障人民群众的知情权、参与权、监督权，力争我市</w:t>
      </w:r>
      <w:r w:rsidR="003E04AE"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招商</w:t>
      </w:r>
      <w:r w:rsidR="003E04AE" w:rsidRPr="004628A8">
        <w:rPr>
          <w:rFonts w:eastAsia="方正仿宋简体"/>
          <w:b/>
          <w:snapToGrid w:val="0"/>
          <w:color w:val="000000" w:themeColor="text1"/>
          <w:sz w:val="32"/>
          <w:szCs w:val="32"/>
        </w:rPr>
        <w:t>领域政务公开工作再上新台阶。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ascii="方正黑体简体" w:eastAsia="方正黑体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ascii="方正黑体简体" w:eastAsia="方正黑体简体" w:hint="eastAsia"/>
          <w:b/>
          <w:snapToGrid w:val="0"/>
          <w:color w:val="000000" w:themeColor="text1"/>
          <w:sz w:val="32"/>
          <w:szCs w:val="32"/>
        </w:rPr>
        <w:t>六、其他需要报告的事项</w:t>
      </w:r>
    </w:p>
    <w:p w:rsidR="00B52585" w:rsidRPr="004628A8" w:rsidRDefault="003E04AE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无。</w:t>
      </w:r>
    </w:p>
    <w:p w:rsidR="004628A8" w:rsidRPr="004628A8" w:rsidRDefault="004628A8" w:rsidP="004628A8">
      <w:pPr>
        <w:topLinePunct/>
        <w:adjustRightInd w:val="0"/>
        <w:snapToGrid w:val="0"/>
        <w:spacing w:line="570" w:lineRule="exact"/>
        <w:ind w:firstLineChars="200" w:firstLine="643"/>
        <w:textAlignment w:val="baseline"/>
        <w:rPr>
          <w:rFonts w:eastAsia="方正仿宋简体"/>
          <w:b/>
          <w:snapToGrid w:val="0"/>
          <w:color w:val="000000" w:themeColor="text1"/>
          <w:sz w:val="32"/>
          <w:szCs w:val="32"/>
        </w:rPr>
      </w:pP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附件</w:t>
      </w:r>
      <w:r w:rsidR="00446C84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1</w:t>
      </w:r>
      <w:r w:rsidR="00446C84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：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曲阜市投资促进服务中心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2021</w:t>
      </w:r>
      <w:r w:rsidRPr="004628A8">
        <w:rPr>
          <w:rFonts w:eastAsia="方正仿宋简体" w:hint="eastAsia"/>
          <w:b/>
          <w:snapToGrid w:val="0"/>
          <w:color w:val="000000" w:themeColor="text1"/>
          <w:sz w:val="32"/>
          <w:szCs w:val="32"/>
        </w:rPr>
        <w:t>年政府信息公开情况统计表</w:t>
      </w:r>
    </w:p>
    <w:p w:rsidR="00446C84" w:rsidRDefault="00446C84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 w:hint="eastAsia"/>
          <w:b/>
          <w:sz w:val="32"/>
          <w:szCs w:val="32"/>
        </w:rPr>
      </w:pPr>
    </w:p>
    <w:p w:rsidR="00B95B3B" w:rsidRDefault="00B95B3B">
      <w:pPr>
        <w:spacing w:line="590" w:lineRule="exact"/>
        <w:ind w:rightChars="-50" w:right="-100"/>
        <w:rPr>
          <w:rFonts w:ascii="方正黑体简体" w:eastAsia="方正黑体简体"/>
          <w:b/>
          <w:sz w:val="32"/>
          <w:szCs w:val="32"/>
        </w:rPr>
      </w:pPr>
      <w:bookmarkStart w:id="0" w:name="_GoBack"/>
      <w:bookmarkEnd w:id="0"/>
    </w:p>
    <w:p w:rsidR="00B52585" w:rsidRDefault="003E04AE">
      <w:pPr>
        <w:spacing w:line="590" w:lineRule="exact"/>
        <w:ind w:rightChars="-50" w:right="-100"/>
        <w:rPr>
          <w:rFonts w:ascii="方正黑体简体" w:eastAsia="方正黑体简体"/>
          <w:b/>
          <w:sz w:val="32"/>
          <w:szCs w:val="32"/>
        </w:rPr>
      </w:pPr>
      <w:r>
        <w:rPr>
          <w:rFonts w:ascii="方正黑体简体" w:eastAsia="方正黑体简体" w:hint="eastAsia"/>
          <w:b/>
          <w:sz w:val="32"/>
          <w:szCs w:val="32"/>
        </w:rPr>
        <w:lastRenderedPageBreak/>
        <w:t>附件</w:t>
      </w:r>
      <w:r w:rsidR="00446C84">
        <w:rPr>
          <w:rFonts w:ascii="方正黑体简体" w:eastAsia="方正黑体简体" w:hint="eastAsia"/>
          <w:b/>
          <w:sz w:val="32"/>
          <w:szCs w:val="32"/>
        </w:rPr>
        <w:t>1</w:t>
      </w:r>
    </w:p>
    <w:p w:rsidR="004628A8" w:rsidRDefault="004628A8">
      <w:pPr>
        <w:spacing w:line="590" w:lineRule="exact"/>
        <w:ind w:rightChars="-50" w:right="-1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曲阜市投资促进服务中心</w:t>
      </w:r>
    </w:p>
    <w:p w:rsidR="00B52585" w:rsidRDefault="003E04AE">
      <w:pPr>
        <w:spacing w:line="590" w:lineRule="exact"/>
        <w:ind w:rightChars="-50" w:right="-1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2021年政府信息公开情况统计表</w:t>
      </w:r>
    </w:p>
    <w:tbl>
      <w:tblPr>
        <w:tblW w:w="8696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7"/>
        <w:gridCol w:w="904"/>
        <w:gridCol w:w="825"/>
      </w:tblGrid>
      <w:tr w:rsidR="00B52585">
        <w:trPr>
          <w:trHeight w:hRule="exact" w:val="400"/>
          <w:tblHeader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pStyle w:val="a3"/>
              <w:spacing w:before="0" w:beforeAutospacing="0" w:after="0" w:afterAutospacing="0" w:line="240" w:lineRule="exact"/>
              <w:ind w:firstLine="685"/>
              <w:jc w:val="center"/>
              <w:rPr>
                <w:rFonts w:ascii="方正黑体简体" w:eastAsia="方正黑体简体"/>
                <w:b/>
                <w:color w:val="000000"/>
              </w:rPr>
            </w:pPr>
            <w:r>
              <w:rPr>
                <w:rStyle w:val="a4"/>
                <w:rFonts w:ascii="方正黑体简体" w:eastAsia="方正黑体简体"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</w:rPr>
            </w:pPr>
            <w:r>
              <w:rPr>
                <w:rStyle w:val="a4"/>
                <w:rFonts w:ascii="方正黑体简体" w:eastAsia="方正黑体简体" w:hint="eastAsia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</w:rPr>
            </w:pPr>
            <w:r>
              <w:rPr>
                <w:rStyle w:val="a4"/>
                <w:rFonts w:ascii="方正黑体简体" w:eastAsia="方正黑体简体" w:hint="eastAsia"/>
                <w:color w:val="000000"/>
              </w:rPr>
              <w:t>统计数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黑体简体" w:eastAsia="方正黑体简体" w:hAnsi="宋体" w:cs="宋体"/>
                <w:b/>
                <w:color w:val="000000"/>
                <w:sz w:val="24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:rsidR="00B52585">
        <w:trPr>
          <w:trHeight w:val="513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（一）主动公开政府信息数（不同渠道和方式公开相同信息计1条）</w:t>
            </w:r>
          </w:p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（不同渠道和方式公开相同信息计1条）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16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　其中：主动公开规范性文件数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　　　　制发规范性文件总数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（二）通过不同渠道和方式公开政府信息的情况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1.政府公报公开政府信息数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2.政府网站公开政府信息数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265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3.政务</w:t>
            </w: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微博公开</w:t>
            </w:r>
            <w:proofErr w:type="gramEnd"/>
            <w:r>
              <w:rPr>
                <w:rFonts w:ascii="方正仿宋简体" w:eastAsia="方正仿宋简体" w:hAnsi="宋体" w:hint="eastAsia"/>
                <w:b/>
                <w:color w:val="000000"/>
              </w:rPr>
              <w:t>政府信息数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4.</w:t>
            </w: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政务微信公开</w:t>
            </w:r>
            <w:proofErr w:type="gramEnd"/>
            <w:r>
              <w:rPr>
                <w:rFonts w:ascii="方正仿宋简体" w:eastAsia="方正仿宋简体" w:hAnsi="宋体" w:hint="eastAsia"/>
                <w:b/>
                <w:color w:val="000000"/>
              </w:rPr>
              <w:t>政府信息数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254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5.其他方式公开政府信息数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pStyle w:val="a3"/>
              <w:spacing w:before="0" w:beforeAutospacing="0" w:after="0" w:afterAutospacing="0" w:line="240" w:lineRule="exact"/>
              <w:ind w:firstLine="685"/>
              <w:jc w:val="center"/>
              <w:rPr>
                <w:rFonts w:ascii="方正仿宋简体" w:eastAsia="方正仿宋简体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val="499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pStyle w:val="a3"/>
              <w:spacing w:before="0" w:beforeAutospacing="0" w:after="0" w:afterAutospacing="0" w:line="240" w:lineRule="exact"/>
              <w:ind w:firstLineChars="200" w:firstLine="402"/>
              <w:rPr>
                <w:rFonts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</w:p>
          <w:p w:rsidR="00B52585" w:rsidRDefault="003E04AE">
            <w:pPr>
              <w:pStyle w:val="a3"/>
              <w:spacing w:before="0" w:beforeAutospacing="0" w:after="0" w:afterAutospacing="0" w:line="240" w:lineRule="exact"/>
              <w:ind w:firstLineChars="200" w:firstLine="402"/>
              <w:rPr>
                <w:rFonts w:ascii="方正仿宋简体" w:eastAsia="方正仿宋简体"/>
                <w:b/>
                <w:color w:val="000000"/>
              </w:rPr>
            </w:pPr>
            <w:r>
              <w:rPr>
                <w:rFonts w:ascii="方正仿宋简体" w:eastAsia="方正仿宋简体" w:cs="Times New Roman" w:hint="eastAsia"/>
                <w:b/>
                <w:color w:val="000000"/>
                <w:kern w:val="2"/>
                <w:sz w:val="20"/>
                <w:szCs w:val="20"/>
              </w:rPr>
              <w:t xml:space="preserve">　　　　 （不同方式回应同一热点或舆情计1次）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5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（二）通过不同渠道和方式回应解读的情况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1.参加或举办新闻发布会总次数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　 其中：主要负责同志参加新闻发布会次数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2.政府网站在线访谈次数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3.政策解读稿件发布数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4.</w:t>
            </w: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微博微信回应</w:t>
            </w:r>
            <w:proofErr w:type="gramEnd"/>
            <w:r>
              <w:rPr>
                <w:rFonts w:ascii="方正仿宋简体" w:eastAsia="方正仿宋简体" w:hAnsi="宋体" w:hint="eastAsia"/>
                <w:b/>
                <w:color w:val="000000"/>
              </w:rPr>
              <w:t>事件数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5.其他方式回应事件数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三、开通政府信息公开网站（或设立门户网站信息公开专栏）数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widowControl/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val="322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（一）市政府部门门户网站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（二）县（市、区）政府及其部门门户网站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hRule="exact" w:val="433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（三）乡镇政府（街道办事处）门户网站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黑体简体" w:eastAsia="方正黑体简体" w:hAnsi="宋体"/>
                <w:b/>
                <w:color w:val="000000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四、设置政府信息查阅点数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widowControl/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（一）市政府部门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lastRenderedPageBreak/>
              <w:t>（二）县（市、区）政府及其部门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五、查阅点接待人数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widowControl/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（一）市政府及其部门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-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ind w:firstLineChars="200" w:firstLine="402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widowControl/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/>
                <w:b/>
                <w:color w:val="000000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六、机构建设和保障经费情况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（一）政府信息公开工作专门机构数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color w:val="000000"/>
              </w:rPr>
              <w:t>个</w:t>
            </w:r>
            <w:proofErr w:type="gramEnd"/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（二）从事政府信息公开工作人员数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4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1.专职人员数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　　　2.兼职人员数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4</w:t>
            </w:r>
          </w:p>
        </w:tc>
      </w:tr>
      <w:tr w:rsidR="00B52585">
        <w:trPr>
          <w:trHeight w:val="555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（三）政府信息公开专项经费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黑体简体" w:eastAsia="方正黑体简体" w:hAnsi="宋体" w:hint="eastAsia"/>
                <w:b/>
                <w:color w:val="000000"/>
              </w:rPr>
              <w:t>七、政府信息公开会议和培训情况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52585" w:rsidRDefault="00B52585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B52585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（一）召开政府信息公开工作会议或专题会议数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（二）举办各类培训班数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0</w:t>
            </w:r>
          </w:p>
        </w:tc>
      </w:tr>
      <w:tr w:rsidR="00B52585">
        <w:trPr>
          <w:trHeight w:hRule="exact" w:val="400"/>
          <w:jc w:val="center"/>
        </w:trPr>
        <w:tc>
          <w:tcPr>
            <w:tcW w:w="6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 xml:space="preserve">　　（三）接受培训人员数</w:t>
            </w:r>
          </w:p>
        </w:tc>
        <w:tc>
          <w:tcPr>
            <w:tcW w:w="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Default="003E04AE">
            <w:pPr>
              <w:spacing w:line="24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52585" w:rsidRPr="00446C84" w:rsidRDefault="003E04AE">
            <w:pPr>
              <w:spacing w:line="240" w:lineRule="exact"/>
              <w:jc w:val="center"/>
              <w:rPr>
                <w:rFonts w:eastAsia="方正仿宋简体"/>
                <w:b/>
                <w:color w:val="000000"/>
              </w:rPr>
            </w:pPr>
            <w:r w:rsidRPr="00446C84">
              <w:rPr>
                <w:rFonts w:eastAsia="方正仿宋简体"/>
                <w:b/>
                <w:color w:val="000000"/>
              </w:rPr>
              <w:t>18</w:t>
            </w:r>
          </w:p>
        </w:tc>
      </w:tr>
    </w:tbl>
    <w:p w:rsidR="00B52585" w:rsidRDefault="003E04AE" w:rsidP="00446C84">
      <w:pPr>
        <w:spacing w:line="590" w:lineRule="exact"/>
        <w:ind w:rightChars="-50" w:right="-100"/>
      </w:pPr>
      <w:r>
        <w:rPr>
          <w:rFonts w:ascii="方正仿宋简体" w:eastAsia="方正仿宋简体" w:hint="eastAsia"/>
          <w:b/>
          <w:sz w:val="24"/>
          <w:szCs w:val="24"/>
        </w:rPr>
        <w:t>（注：各子栏目数总数要等于总栏目数量）</w:t>
      </w:r>
    </w:p>
    <w:sectPr w:rsidR="00B52585" w:rsidSect="00316122">
      <w:footerReference w:type="default" r:id="rId10"/>
      <w:pgSz w:w="11906" w:h="16838"/>
      <w:pgMar w:top="2155" w:right="1361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BD" w:rsidRDefault="00C616BD" w:rsidP="00942AAC">
      <w:r>
        <w:separator/>
      </w:r>
    </w:p>
  </w:endnote>
  <w:endnote w:type="continuationSeparator" w:id="0">
    <w:p w:rsidR="00C616BD" w:rsidRDefault="00C616BD" w:rsidP="0094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0807"/>
      <w:docPartObj>
        <w:docPartGallery w:val="Page Numbers (Bottom of Page)"/>
        <w:docPartUnique/>
      </w:docPartObj>
    </w:sdtPr>
    <w:sdtContent>
      <w:p w:rsidR="00316122" w:rsidRDefault="00316122" w:rsidP="00316122">
        <w:pPr>
          <w:pStyle w:val="a6"/>
          <w:adjustRightInd w:val="0"/>
          <w:ind w:rightChars="200" w:right="400"/>
          <w:jc w:val="right"/>
        </w:pPr>
        <w:r w:rsidRPr="00316122">
          <w:rPr>
            <w:rFonts w:ascii="宋体" w:hAnsi="宋体"/>
            <w:sz w:val="28"/>
            <w:szCs w:val="28"/>
          </w:rPr>
          <w:fldChar w:fldCharType="begin"/>
        </w:r>
        <w:r w:rsidRPr="00316122">
          <w:rPr>
            <w:rFonts w:ascii="宋体" w:hAnsi="宋体"/>
            <w:sz w:val="28"/>
            <w:szCs w:val="28"/>
          </w:rPr>
          <w:instrText>PAGE   \* MERGEFORMAT</w:instrText>
        </w:r>
        <w:r w:rsidRPr="00316122">
          <w:rPr>
            <w:rFonts w:ascii="宋体" w:hAnsi="宋体"/>
            <w:sz w:val="28"/>
            <w:szCs w:val="28"/>
          </w:rPr>
          <w:fldChar w:fldCharType="separate"/>
        </w:r>
        <w:r w:rsidR="00B95B3B" w:rsidRPr="00B95B3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95B3B">
          <w:rPr>
            <w:rFonts w:ascii="宋体" w:hAnsi="宋体"/>
            <w:noProof/>
            <w:sz w:val="28"/>
            <w:szCs w:val="28"/>
          </w:rPr>
          <w:t xml:space="preserve"> 4 -</w:t>
        </w:r>
        <w:r w:rsidRPr="00316122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316122" w:rsidRDefault="003161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BD" w:rsidRDefault="00C616BD" w:rsidP="00942AAC">
      <w:r>
        <w:separator/>
      </w:r>
    </w:p>
  </w:footnote>
  <w:footnote w:type="continuationSeparator" w:id="0">
    <w:p w:rsidR="00C616BD" w:rsidRDefault="00C616BD" w:rsidP="0094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5"/>
    <w:rsid w:val="00316122"/>
    <w:rsid w:val="00372C82"/>
    <w:rsid w:val="003E04AE"/>
    <w:rsid w:val="00446C84"/>
    <w:rsid w:val="004628A8"/>
    <w:rsid w:val="004766C6"/>
    <w:rsid w:val="00795FC9"/>
    <w:rsid w:val="008E0C60"/>
    <w:rsid w:val="00942AAC"/>
    <w:rsid w:val="00A40E03"/>
    <w:rsid w:val="00B52585"/>
    <w:rsid w:val="00B95B3B"/>
    <w:rsid w:val="00C616BD"/>
    <w:rsid w:val="05393890"/>
    <w:rsid w:val="06FB651D"/>
    <w:rsid w:val="082779D0"/>
    <w:rsid w:val="08AA23AF"/>
    <w:rsid w:val="0B707EA4"/>
    <w:rsid w:val="0D5C636E"/>
    <w:rsid w:val="0DD51C7C"/>
    <w:rsid w:val="0F672DA8"/>
    <w:rsid w:val="130D1EB8"/>
    <w:rsid w:val="13BF4212"/>
    <w:rsid w:val="14B47FBD"/>
    <w:rsid w:val="15B30AF5"/>
    <w:rsid w:val="15D942D4"/>
    <w:rsid w:val="187F36A7"/>
    <w:rsid w:val="1ACB68E1"/>
    <w:rsid w:val="1B376954"/>
    <w:rsid w:val="1C6C40F3"/>
    <w:rsid w:val="1F2667DB"/>
    <w:rsid w:val="208D02EA"/>
    <w:rsid w:val="21C67E02"/>
    <w:rsid w:val="25A55F80"/>
    <w:rsid w:val="25C805EC"/>
    <w:rsid w:val="26551754"/>
    <w:rsid w:val="294C6E3F"/>
    <w:rsid w:val="2973261D"/>
    <w:rsid w:val="2A247DBB"/>
    <w:rsid w:val="2BC2788C"/>
    <w:rsid w:val="2BFF499D"/>
    <w:rsid w:val="2CC67190"/>
    <w:rsid w:val="2CF55A3F"/>
    <w:rsid w:val="34CF439C"/>
    <w:rsid w:val="363870C8"/>
    <w:rsid w:val="363B44C3"/>
    <w:rsid w:val="3699743B"/>
    <w:rsid w:val="382471D8"/>
    <w:rsid w:val="38B13162"/>
    <w:rsid w:val="399A3BF6"/>
    <w:rsid w:val="3C97635B"/>
    <w:rsid w:val="3DBD4357"/>
    <w:rsid w:val="42B0448A"/>
    <w:rsid w:val="43B835F7"/>
    <w:rsid w:val="43C401ED"/>
    <w:rsid w:val="475E44B5"/>
    <w:rsid w:val="48270D4B"/>
    <w:rsid w:val="484F2050"/>
    <w:rsid w:val="4C1171D0"/>
    <w:rsid w:val="4C575977"/>
    <w:rsid w:val="4D71412D"/>
    <w:rsid w:val="4DC94652"/>
    <w:rsid w:val="534F73A8"/>
    <w:rsid w:val="53A5346C"/>
    <w:rsid w:val="543A0058"/>
    <w:rsid w:val="56464A92"/>
    <w:rsid w:val="56FD33E0"/>
    <w:rsid w:val="57284198"/>
    <w:rsid w:val="574D1E50"/>
    <w:rsid w:val="57511940"/>
    <w:rsid w:val="59087567"/>
    <w:rsid w:val="5955323E"/>
    <w:rsid w:val="5ACE32A8"/>
    <w:rsid w:val="5B176100"/>
    <w:rsid w:val="5B7E6A7C"/>
    <w:rsid w:val="5BE87CE6"/>
    <w:rsid w:val="5CE15514"/>
    <w:rsid w:val="5CF35248"/>
    <w:rsid w:val="5E1D17D7"/>
    <w:rsid w:val="5EB629D1"/>
    <w:rsid w:val="626B6470"/>
    <w:rsid w:val="63554454"/>
    <w:rsid w:val="635C46C6"/>
    <w:rsid w:val="6370012D"/>
    <w:rsid w:val="656123B2"/>
    <w:rsid w:val="65750EF0"/>
    <w:rsid w:val="67584AF6"/>
    <w:rsid w:val="68D815CD"/>
    <w:rsid w:val="68F71C1C"/>
    <w:rsid w:val="6AC7757B"/>
    <w:rsid w:val="6CFD3F9D"/>
    <w:rsid w:val="6D9B641C"/>
    <w:rsid w:val="6E755ABD"/>
    <w:rsid w:val="6F2F2F55"/>
    <w:rsid w:val="706E3203"/>
    <w:rsid w:val="70796848"/>
    <w:rsid w:val="70E1568B"/>
    <w:rsid w:val="71CF1988"/>
    <w:rsid w:val="73566C38"/>
    <w:rsid w:val="739F538A"/>
    <w:rsid w:val="74F3598D"/>
    <w:rsid w:val="77420E4E"/>
    <w:rsid w:val="788F1E71"/>
    <w:rsid w:val="7BC6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Char"/>
    <w:rsid w:val="00942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2AAC"/>
    <w:rPr>
      <w:sz w:val="18"/>
      <w:szCs w:val="18"/>
    </w:rPr>
  </w:style>
  <w:style w:type="paragraph" w:styleId="a6">
    <w:name w:val="footer"/>
    <w:basedOn w:val="a"/>
    <w:link w:val="Char0"/>
    <w:uiPriority w:val="99"/>
    <w:rsid w:val="00942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2AAC"/>
    <w:rPr>
      <w:sz w:val="18"/>
      <w:szCs w:val="18"/>
    </w:rPr>
  </w:style>
  <w:style w:type="paragraph" w:styleId="a7">
    <w:name w:val="Balloon Text"/>
    <w:basedOn w:val="a"/>
    <w:link w:val="Char1"/>
    <w:rsid w:val="00942AAC"/>
    <w:rPr>
      <w:sz w:val="18"/>
      <w:szCs w:val="18"/>
    </w:rPr>
  </w:style>
  <w:style w:type="character" w:customStyle="1" w:styleId="Char1">
    <w:name w:val="批注框文本 Char"/>
    <w:basedOn w:val="a0"/>
    <w:link w:val="a7"/>
    <w:rsid w:val="00942A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Char"/>
    <w:rsid w:val="00942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42AAC"/>
    <w:rPr>
      <w:sz w:val="18"/>
      <w:szCs w:val="18"/>
    </w:rPr>
  </w:style>
  <w:style w:type="paragraph" w:styleId="a6">
    <w:name w:val="footer"/>
    <w:basedOn w:val="a"/>
    <w:link w:val="Char0"/>
    <w:uiPriority w:val="99"/>
    <w:rsid w:val="00942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2AAC"/>
    <w:rPr>
      <w:sz w:val="18"/>
      <w:szCs w:val="18"/>
    </w:rPr>
  </w:style>
  <w:style w:type="paragraph" w:styleId="a7">
    <w:name w:val="Balloon Text"/>
    <w:basedOn w:val="a"/>
    <w:link w:val="Char1"/>
    <w:rsid w:val="00942AAC"/>
    <w:rPr>
      <w:sz w:val="18"/>
      <w:szCs w:val="18"/>
    </w:rPr>
  </w:style>
  <w:style w:type="character" w:customStyle="1" w:styleId="Char1">
    <w:name w:val="批注框文本 Char"/>
    <w:basedOn w:val="a0"/>
    <w:link w:val="a7"/>
    <w:rsid w:val="00942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门户网站</c:v>
                </c:pt>
                <c:pt idx="1">
                  <c:v>网站子点</c:v>
                </c:pt>
                <c:pt idx="2">
                  <c:v>微信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16</c:v>
                </c:pt>
                <c:pt idx="1">
                  <c:v>249</c:v>
                </c:pt>
                <c:pt idx="2">
                  <c:v>254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网络问政数量近三年对比</a:t>
            </a:r>
          </a:p>
        </c:rich>
      </c:tx>
      <c:layout>
        <c:manualLayout>
          <c:xMode val="edge"/>
          <c:yMode val="edge"/>
          <c:x val="0.35175000000000001"/>
          <c:y val="1.3666666666666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2021年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2084608"/>
        <c:axId val="232086144"/>
      </c:barChart>
      <c:catAx>
        <c:axId val="232084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086144"/>
        <c:crosses val="autoZero"/>
        <c:auto val="1"/>
        <c:lblAlgn val="ctr"/>
        <c:lblOffset val="100"/>
        <c:noMultiLvlLbl val="0"/>
      </c:catAx>
      <c:valAx>
        <c:axId val="23208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208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bangongshi</cp:lastModifiedBy>
  <cp:revision>10</cp:revision>
  <dcterms:created xsi:type="dcterms:W3CDTF">2022-01-04T08:06:00Z</dcterms:created>
  <dcterms:modified xsi:type="dcterms:W3CDTF">2022-01-13T01:57:00Z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7AA79D2E3ECF44AC99780C347C7B74FA</vt:lpwstr>
  </property>
</Properties>
</file>