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曲阜市工业和信息化局</w:t>
      </w:r>
    </w:p>
    <w:p>
      <w:pPr>
        <w:ind w:left="0" w:leftChars="0" w:firstLine="0" w:firstLineChars="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2019年政府信息公开工作年度报告</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本报告根据《中华人民共和国政府信息公开条例》（国务院令第711号，以下简称《条例》）和《国务院办公厅政府信息与政务公开办公室关于政府信息公开工作年度报告有关事项的通知》（国办公开办函〔2019〕60号）要求，现向社会公布2019年度曲阜市工业和信息化局信息公开工作年度报告。本年报包括总体情况、主动公开政府信息情况、收到和处理政府信息公开申请情况、政府信息公开行政复议及行政诉讼情况、存在的主要问题及改进情况、其它需要报告的事项六个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6" w:right="0" w:firstLine="420"/>
        <w:jc w:val="left"/>
        <w:rPr>
          <w:rFonts w:hint="eastAsia" w:ascii="仿宋_GB2312" w:hAnsi="仿宋_GB2312" w:eastAsia="仿宋_GB2312"/>
          <w:b/>
          <w:color w:val="auto"/>
          <w:w w:val="100"/>
          <w:sz w:val="32"/>
          <w:szCs w:val="22"/>
          <w:lang w:eastAsia="zh-CN"/>
        </w:rPr>
      </w:pPr>
      <w:r>
        <w:rPr>
          <w:rFonts w:hint="eastAsia" w:ascii="仿宋_GB2312" w:hAnsi="仿宋_GB2312" w:eastAsia="仿宋_GB2312"/>
          <w:b/>
          <w:color w:val="auto"/>
          <w:w w:val="100"/>
          <w:sz w:val="32"/>
          <w:lang w:eastAsia="zh-CN"/>
        </w:rPr>
        <w:t>本年度报告中所列数据统计期限从2019年1月1日到12月31日止。本年度报告电子版可从“曲阜市人民政府网站”（www.qufu.gov.cn）下载。如对本年度报告有疑问，请与曲阜市工业和信息化局局办公室联系（地址：曲阜市大同路</w:t>
      </w:r>
      <w:r>
        <w:rPr>
          <w:rFonts w:hint="eastAsia" w:ascii="仿宋_GB2312" w:hAnsi="仿宋_GB2312" w:eastAsia="仿宋_GB2312"/>
          <w:b/>
          <w:color w:val="auto"/>
          <w:w w:val="100"/>
          <w:sz w:val="32"/>
          <w:lang w:val="en-US" w:eastAsia="zh-CN"/>
        </w:rPr>
        <w:t>8</w:t>
      </w:r>
      <w:r>
        <w:rPr>
          <w:rFonts w:hint="eastAsia" w:ascii="仿宋_GB2312" w:hAnsi="仿宋_GB2312" w:eastAsia="仿宋_GB2312"/>
          <w:b/>
          <w:color w:val="auto"/>
          <w:w w:val="100"/>
          <w:sz w:val="32"/>
          <w:lang w:eastAsia="zh-CN"/>
        </w:rPr>
        <w:t>号；</w:t>
      </w:r>
      <w:r>
        <w:rPr>
          <w:rFonts w:hint="eastAsia" w:ascii="仿宋_GB2312" w:hAnsi="仿宋_GB2312" w:eastAsia="仿宋_GB2312"/>
          <w:b/>
          <w:color w:val="auto"/>
          <w:w w:val="100"/>
          <w:sz w:val="32"/>
          <w:szCs w:val="22"/>
          <w:lang w:eastAsia="zh-CN"/>
        </w:rPr>
        <w:t>邮编：273100；电话:0537-44</w:t>
      </w:r>
      <w:r>
        <w:rPr>
          <w:rFonts w:hint="eastAsia" w:ascii="仿宋_GB2312" w:hAnsi="仿宋_GB2312" w:eastAsia="仿宋_GB2312"/>
          <w:b/>
          <w:color w:val="auto"/>
          <w:w w:val="100"/>
          <w:sz w:val="32"/>
          <w:szCs w:val="22"/>
          <w:lang w:val="en-US" w:eastAsia="zh-CN"/>
        </w:rPr>
        <w:t>95710</w:t>
      </w:r>
      <w:r>
        <w:rPr>
          <w:rFonts w:hint="eastAsia" w:ascii="仿宋_GB2312" w:hAnsi="仿宋_GB2312" w:eastAsia="仿宋_GB2312"/>
          <w:b/>
          <w:color w:val="auto"/>
          <w:w w:val="100"/>
          <w:sz w:val="32"/>
          <w:szCs w:val="22"/>
          <w:lang w:eastAsia="zh-CN"/>
        </w:rPr>
        <w:t>；电子邮箱：qfsjxj@ji.shandong.cn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6" w:right="0" w:firstLine="420"/>
        <w:jc w:val="left"/>
        <w:rPr>
          <w:rFonts w:hint="eastAsia" w:ascii="仿宋_GB2312" w:hAnsi="仿宋_GB2312" w:eastAsia="仿宋_GB2312"/>
          <w:b/>
          <w:color w:val="auto"/>
          <w:w w:val="100"/>
          <w:sz w:val="32"/>
          <w:szCs w:val="22"/>
          <w:lang w:eastAsia="zh-CN"/>
        </w:rPr>
      </w:pPr>
      <w:r>
        <w:rPr>
          <w:rFonts w:hint="eastAsia" w:ascii="仿宋_GB2312" w:hAnsi="仿宋_GB2312" w:eastAsia="仿宋_GB2312"/>
          <w:b/>
          <w:color w:val="auto"/>
          <w:w w:val="100"/>
          <w:sz w:val="32"/>
          <w:szCs w:val="22"/>
          <w:lang w:eastAsia="zh-CN"/>
        </w:rPr>
        <w:t>）。</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黑体" w:hAnsi="黑体" w:eastAsia="黑体"/>
          <w:b/>
          <w:color w:val="auto"/>
          <w:w w:val="100"/>
          <w:sz w:val="32"/>
          <w:lang w:eastAsia="zh-CN"/>
        </w:rPr>
      </w:pPr>
      <w:r>
        <w:rPr>
          <w:rFonts w:ascii="黑体" w:hAnsi="黑体" w:eastAsia="黑体"/>
          <w:b/>
          <w:color w:val="auto"/>
          <w:w w:val="100"/>
          <w:sz w:val="32"/>
        </w:rPr>
        <w:t>一、总体情况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w w:val="100"/>
          <w:sz w:val="32"/>
          <w:lang w:eastAsia="zh-CN"/>
        </w:rPr>
      </w:pPr>
      <w:r>
        <w:rPr>
          <w:rFonts w:hint="eastAsia" w:ascii="楷体_GB2312" w:hAnsi="楷体_GB2312" w:eastAsia="楷体_GB2312"/>
          <w:b/>
          <w:w w:val="100"/>
          <w:sz w:val="32"/>
          <w:lang w:eastAsia="zh-CN"/>
        </w:rPr>
        <w:t>（一）概述</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t>2019年，曲阜市工业和信息化局在市政府信息公开办公室的指导下，认真贯彻落实国家、省、市对政府信息公开工作的要求，把政府信息公开作为一项重要工作来抓，充分利用网站在允许公开的范围内，紧紧围绕保障企业公平和提升企业质量，及时更新、发布群众普遍关心的各项企业工作信息，不断提高企业领域透明度。</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color w:val="auto"/>
          <w:w w:val="100"/>
          <w:sz w:val="32"/>
          <w:lang w:eastAsia="zh-CN"/>
        </w:rPr>
      </w:pPr>
      <w:r>
        <w:rPr>
          <w:rFonts w:hint="eastAsia" w:ascii="楷体_GB2312" w:hAnsi="楷体_GB2312" w:eastAsia="楷体_GB2312"/>
          <w:b/>
          <w:color w:val="auto"/>
          <w:w w:val="100"/>
          <w:sz w:val="32"/>
          <w:lang w:eastAsia="zh-CN"/>
        </w:rPr>
        <w:t>（二）主动公开情况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t>我局按照“以公开为常态、不公开为例外”原则，全面推进决策、执行、管理、服务和结果“五公开”，编制并公开了《曲阜市工业和信息化局政府信息主动公开目录》和《曲阜市工业和信息化局政府信息公开指南》，优化公开目录，丰富重点领域公开内容，主动公开各类政府信息，确保“应公开尽公开”。2019年，曲阜市工业和信息化局通过各类媒体平台发布信息共计</w:t>
      </w:r>
      <w:r>
        <w:rPr>
          <w:rFonts w:hint="eastAsia" w:ascii="仿宋_GB2312" w:hAnsi="仿宋_GB2312" w:eastAsia="仿宋_GB2312"/>
          <w:b/>
          <w:color w:val="auto"/>
          <w:w w:val="100"/>
          <w:sz w:val="32"/>
          <w:lang w:val="en-US" w:eastAsia="zh-CN"/>
        </w:rPr>
        <w:t>86</w:t>
      </w:r>
      <w:r>
        <w:rPr>
          <w:rFonts w:hint="eastAsia" w:ascii="仿宋_GB2312" w:hAnsi="仿宋_GB2312" w:eastAsia="仿宋_GB2312"/>
          <w:b/>
          <w:color w:val="auto"/>
          <w:w w:val="100"/>
          <w:sz w:val="32"/>
          <w:lang w:eastAsia="zh-CN"/>
        </w:rPr>
        <w:t>条，其中通过曲阜市门户网站政务公开栏目主动公开各类政府信息</w:t>
      </w:r>
      <w:r>
        <w:rPr>
          <w:rFonts w:hint="eastAsia" w:ascii="仿宋_GB2312" w:hAnsi="仿宋_GB2312" w:eastAsia="仿宋_GB2312"/>
          <w:b/>
          <w:color w:val="auto"/>
          <w:w w:val="100"/>
          <w:sz w:val="32"/>
          <w:lang w:val="en-US" w:eastAsia="zh-CN"/>
        </w:rPr>
        <w:t>41</w:t>
      </w:r>
      <w:r>
        <w:rPr>
          <w:rFonts w:hint="eastAsia" w:ascii="仿宋_GB2312" w:hAnsi="仿宋_GB2312" w:eastAsia="仿宋_GB2312"/>
          <w:b/>
          <w:color w:val="auto"/>
          <w:w w:val="100"/>
          <w:sz w:val="32"/>
          <w:lang w:eastAsia="zh-CN"/>
        </w:rPr>
        <w:t>条，占比</w:t>
      </w:r>
      <w:r>
        <w:rPr>
          <w:rFonts w:hint="eastAsia" w:ascii="仿宋_GB2312" w:hAnsi="仿宋_GB2312" w:eastAsia="仿宋_GB2312"/>
          <w:b/>
          <w:color w:val="auto"/>
          <w:w w:val="100"/>
          <w:sz w:val="32"/>
          <w:lang w:val="en-US" w:eastAsia="zh-CN"/>
        </w:rPr>
        <w:t>48</w:t>
      </w:r>
      <w:r>
        <w:rPr>
          <w:rFonts w:hint="eastAsia" w:ascii="仿宋_GB2312" w:hAnsi="仿宋_GB2312" w:eastAsia="仿宋_GB2312"/>
          <w:b/>
          <w:color w:val="auto"/>
          <w:w w:val="100"/>
          <w:sz w:val="32"/>
          <w:lang w:eastAsia="zh-CN"/>
        </w:rPr>
        <w:t>%；通过微信公众号“圣城工信”发布信息</w:t>
      </w:r>
      <w:r>
        <w:rPr>
          <w:rFonts w:hint="eastAsia" w:ascii="仿宋_GB2312" w:hAnsi="仿宋_GB2312" w:eastAsia="仿宋_GB2312"/>
          <w:b/>
          <w:color w:val="auto"/>
          <w:w w:val="100"/>
          <w:sz w:val="32"/>
          <w:lang w:val="en-US" w:eastAsia="zh-CN"/>
        </w:rPr>
        <w:t>45</w:t>
      </w:r>
      <w:r>
        <w:rPr>
          <w:rFonts w:hint="eastAsia" w:ascii="仿宋_GB2312" w:hAnsi="仿宋_GB2312" w:eastAsia="仿宋_GB2312"/>
          <w:b/>
          <w:color w:val="auto"/>
          <w:w w:val="100"/>
          <w:sz w:val="32"/>
          <w:lang w:eastAsia="zh-CN"/>
        </w:rPr>
        <w:t>条，占比</w:t>
      </w:r>
      <w:r>
        <w:rPr>
          <w:rFonts w:hint="eastAsia" w:ascii="仿宋_GB2312" w:hAnsi="仿宋_GB2312" w:eastAsia="仿宋_GB2312"/>
          <w:b/>
          <w:color w:val="auto"/>
          <w:w w:val="100"/>
          <w:sz w:val="32"/>
          <w:lang w:val="en-US" w:eastAsia="zh-CN"/>
        </w:rPr>
        <w:t>52</w:t>
      </w:r>
      <w:r>
        <w:rPr>
          <w:rFonts w:hint="eastAsia" w:ascii="仿宋_GB2312" w:hAnsi="仿宋_GB2312" w:eastAsia="仿宋_GB2312"/>
          <w:b/>
          <w:color w:val="auto"/>
          <w:w w:val="100"/>
          <w:sz w:val="32"/>
          <w:lang w:eastAsia="zh-CN"/>
        </w:rPr>
        <w:t>%。</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drawing>
          <wp:inline distT="0" distB="0" distL="114300" distR="114300">
            <wp:extent cx="2762250" cy="1876425"/>
            <wp:effectExtent l="0" t="0" r="0" b="9525"/>
            <wp:docPr id="4" name="图片 4" descr="1594937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94937296(1)"/>
                    <pic:cNvPicPr>
                      <a:picLocks noChangeAspect="1"/>
                    </pic:cNvPicPr>
                  </pic:nvPicPr>
                  <pic:blipFill>
                    <a:blip r:embed="rId4"/>
                    <a:stretch>
                      <a:fillRect/>
                    </a:stretch>
                  </pic:blipFill>
                  <pic:spPr>
                    <a:xfrm>
                      <a:off x="0" y="0"/>
                      <a:ext cx="2762250" cy="1876425"/>
                    </a:xfrm>
                    <a:prstGeom prst="rect">
                      <a:avLst/>
                    </a:prstGeom>
                  </pic:spPr>
                </pic:pic>
              </a:graphicData>
            </a:graphic>
          </wp:inline>
        </w:drawing>
      </w:r>
      <w:bookmarkStart w:id="0" w:name="_GoBack"/>
      <w:bookmarkEnd w:id="0"/>
    </w:p>
    <w:p>
      <w:pPr>
        <w:widowControl/>
        <w:autoSpaceDE/>
        <w:autoSpaceDN/>
        <w:snapToGrid/>
        <w:spacing w:before="0" w:after="0" w:line="420" w:lineRule="atLeast"/>
        <w:ind w:left="640" w:firstLine="640"/>
        <w:jc w:val="left"/>
        <w:rPr>
          <w:rFonts w:hint="eastAsia"/>
          <w:lang w:eastAsia="zh-CN"/>
        </w:rPr>
      </w:pPr>
      <w:r>
        <w:rPr>
          <w:rFonts w:hint="eastAsia"/>
          <w:lang w:eastAsia="zh-CN"/>
        </w:rPr>
        <w:tab/>
      </w:r>
    </w:p>
    <w:p>
      <w:pPr>
        <w:widowControl/>
        <w:autoSpaceDE/>
        <w:autoSpaceDN/>
        <w:snapToGrid/>
        <w:spacing w:before="0" w:after="0" w:line="420" w:lineRule="atLeast"/>
        <w:ind w:left="640" w:firstLine="640"/>
        <w:jc w:val="center"/>
        <w:rPr>
          <w:rFonts w:hint="eastAsia" w:ascii="仿宋_GB2312" w:hAnsi="仿宋_GB2312" w:eastAsia="仿宋_GB2312"/>
          <w:w w:val="100"/>
          <w:sz w:val="32"/>
          <w:lang w:eastAsia="zh-CN"/>
        </w:rPr>
      </w:pP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w w:val="100"/>
          <w:sz w:val="32"/>
          <w:lang w:eastAsia="zh-CN"/>
        </w:rPr>
      </w:pPr>
      <w:r>
        <w:rPr>
          <w:rFonts w:hint="eastAsia" w:ascii="楷体_GB2312" w:hAnsi="楷体_GB2312" w:eastAsia="楷体_GB2312"/>
          <w:b/>
          <w:w w:val="100"/>
          <w:sz w:val="32"/>
          <w:lang w:eastAsia="zh-CN"/>
        </w:rPr>
        <w:t>1、基础内容公开情况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在公开内容上，在政府门户网站主动公开各类政府信息</w:t>
      </w:r>
      <w:r>
        <w:rPr>
          <w:rFonts w:hint="eastAsia" w:ascii="仿宋_GB2312" w:hAnsi="仿宋_GB2312" w:eastAsia="仿宋_GB2312"/>
          <w:b/>
          <w:w w:val="100"/>
          <w:sz w:val="32"/>
          <w:lang w:val="en-US" w:eastAsia="zh-CN"/>
        </w:rPr>
        <w:t>41</w:t>
      </w:r>
      <w:r>
        <w:rPr>
          <w:rFonts w:hint="eastAsia" w:ascii="仿宋_GB2312" w:hAnsi="仿宋_GB2312" w:eastAsia="仿宋_GB2312"/>
          <w:b/>
          <w:w w:val="100"/>
          <w:sz w:val="32"/>
          <w:lang w:eastAsia="zh-CN"/>
        </w:rPr>
        <w:t>条，其中机构职能</w:t>
      </w:r>
      <w:r>
        <w:rPr>
          <w:rFonts w:hint="eastAsia" w:ascii="仿宋_GB2312" w:hAnsi="仿宋_GB2312" w:eastAsia="仿宋_GB2312"/>
          <w:b/>
          <w:w w:val="100"/>
          <w:sz w:val="32"/>
          <w:lang w:val="en-US" w:eastAsia="zh-CN"/>
        </w:rPr>
        <w:t>2</w:t>
      </w:r>
      <w:r>
        <w:rPr>
          <w:rFonts w:hint="eastAsia" w:ascii="仿宋_GB2312" w:hAnsi="仿宋_GB2312" w:eastAsia="仿宋_GB2312"/>
          <w:b/>
          <w:w w:val="100"/>
          <w:sz w:val="32"/>
          <w:lang w:eastAsia="zh-CN"/>
        </w:rPr>
        <w:t>件，领导信息</w:t>
      </w:r>
      <w:r>
        <w:rPr>
          <w:rFonts w:hint="eastAsia" w:ascii="仿宋_GB2312" w:hAnsi="仿宋_GB2312" w:eastAsia="仿宋_GB2312"/>
          <w:b/>
          <w:w w:val="100"/>
          <w:sz w:val="32"/>
          <w:lang w:val="en-US" w:eastAsia="zh-CN"/>
        </w:rPr>
        <w:t>1件，规划计划1件，行政权力1件，财政预算决算6件，建议提案办理9件，行政执法公示10件，五公开2件，重点信息领域2件，政府信息公开指南1件，政务公开管理工作3件，新闻稿件报送2件，</w:t>
      </w:r>
      <w:r>
        <w:rPr>
          <w:rFonts w:hint="eastAsia" w:ascii="仿宋_GB2312" w:hAnsi="仿宋_GB2312" w:eastAsia="仿宋_GB2312"/>
          <w:b/>
          <w:w w:val="100"/>
          <w:sz w:val="32"/>
          <w:lang w:eastAsia="zh-CN"/>
        </w:rPr>
        <w:t>主动公开基本目录1件。</w:t>
      </w:r>
      <w:r>
        <w:rPr>
          <w:rFonts w:hint="eastAsia" w:ascii="仿宋_GB2312" w:hAnsi="仿宋_GB2312" w:eastAsia="仿宋_GB2312"/>
          <w:b/>
          <w:w w:val="100"/>
          <w:sz w:val="32"/>
          <w:lang w:eastAsia="zh-CN"/>
        </w:rPr>
        <w:drawing>
          <wp:inline distT="0" distB="0" distL="114300" distR="114300">
            <wp:extent cx="3194050" cy="2609215"/>
            <wp:effectExtent l="0" t="0" r="6350" b="635"/>
            <wp:docPr id="3" name="图片 3" descr="1594935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4935370(1)"/>
                    <pic:cNvPicPr>
                      <a:picLocks noChangeAspect="1"/>
                    </pic:cNvPicPr>
                  </pic:nvPicPr>
                  <pic:blipFill>
                    <a:blip r:embed="rId5"/>
                    <a:stretch>
                      <a:fillRect/>
                    </a:stretch>
                  </pic:blipFill>
                  <pic:spPr>
                    <a:xfrm>
                      <a:off x="0" y="0"/>
                      <a:ext cx="3194050" cy="2609215"/>
                    </a:xfrm>
                    <a:prstGeom prst="rect">
                      <a:avLst/>
                    </a:prstGeom>
                  </pic:spPr>
                </pic:pic>
              </a:graphicData>
            </a:graphic>
          </wp:inline>
        </w:drawing>
      </w:r>
    </w:p>
    <w:p>
      <w:pPr>
        <w:widowControl/>
        <w:tabs>
          <w:tab w:val="left" w:pos="3328"/>
        </w:tabs>
        <w:autoSpaceDE/>
        <w:autoSpaceDN/>
        <w:snapToGrid/>
        <w:spacing w:before="0" w:after="0" w:line="420" w:lineRule="atLeast"/>
        <w:ind w:left="640" w:firstLine="640"/>
        <w:jc w:val="left"/>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ab/>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color w:val="auto"/>
          <w:w w:val="100"/>
          <w:sz w:val="32"/>
          <w:lang w:eastAsia="zh-CN"/>
        </w:rPr>
      </w:pPr>
      <w:r>
        <w:rPr>
          <w:rFonts w:hint="eastAsia" w:ascii="楷体_GB2312" w:hAnsi="楷体_GB2312" w:eastAsia="楷体_GB2312"/>
          <w:b/>
          <w:color w:val="auto"/>
          <w:w w:val="100"/>
          <w:sz w:val="32"/>
          <w:lang w:eastAsia="zh-CN"/>
        </w:rPr>
        <w:t>2、重点领域信息公开情况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color w:val="auto"/>
          <w:w w:val="100"/>
          <w:sz w:val="32"/>
          <w:lang w:eastAsia="zh-CN"/>
        </w:rPr>
      </w:pPr>
      <w:r>
        <w:rPr>
          <w:rFonts w:hint="eastAsia" w:ascii="楷体_GB2312" w:hAnsi="楷体_GB2312" w:eastAsia="楷体_GB2312"/>
          <w:b/>
          <w:color w:val="auto"/>
          <w:w w:val="100"/>
          <w:sz w:val="32"/>
          <w:lang w:eastAsia="zh-CN"/>
        </w:rPr>
        <w:t>（1）“放管服”改革</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t>在政府门户网站“双随机一公开”专栏，集中公示了工信部门随机抽查事项清单，明确了抽查依据、主体、内容、方式等，并及时公开抽查对象名录库、抽查结果和查处情况。2019年，共公开随机抽查信息</w:t>
      </w:r>
      <w:r>
        <w:rPr>
          <w:rFonts w:hint="eastAsia" w:ascii="仿宋_GB2312" w:hAnsi="仿宋_GB2312" w:eastAsia="仿宋_GB2312"/>
          <w:b/>
          <w:color w:val="auto"/>
          <w:w w:val="100"/>
          <w:sz w:val="32"/>
          <w:lang w:val="en-US" w:eastAsia="zh-CN"/>
        </w:rPr>
        <w:t>3</w:t>
      </w:r>
      <w:r>
        <w:rPr>
          <w:rFonts w:hint="eastAsia" w:ascii="仿宋_GB2312" w:hAnsi="仿宋_GB2312" w:eastAsia="仿宋_GB2312"/>
          <w:b/>
          <w:color w:val="auto"/>
          <w:w w:val="100"/>
          <w:sz w:val="32"/>
          <w:lang w:eastAsia="zh-CN"/>
        </w:rPr>
        <w:t>件。</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color w:val="auto"/>
          <w:w w:val="100"/>
          <w:sz w:val="32"/>
          <w:lang w:eastAsia="zh-CN"/>
        </w:rPr>
      </w:pPr>
      <w:r>
        <w:rPr>
          <w:rFonts w:hint="eastAsia" w:ascii="楷体_GB2312" w:hAnsi="楷体_GB2312" w:eastAsia="楷体_GB2312"/>
          <w:b/>
          <w:color w:val="auto"/>
          <w:w w:val="100"/>
          <w:sz w:val="32"/>
          <w:lang w:eastAsia="zh-CN"/>
        </w:rPr>
        <w:t>（2）行政执法公示</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t>在“行政执法公示”专栏，对行政执法事项进行事前、事后公开，具体公开了行政执法主体、执法人员名单、权责清单、服务指南、制度汇编、执法结果和行政执法统计年报等，2019年行政执法共公开</w:t>
      </w:r>
      <w:r>
        <w:rPr>
          <w:rFonts w:hint="eastAsia" w:ascii="仿宋_GB2312" w:hAnsi="仿宋_GB2312" w:eastAsia="仿宋_GB2312"/>
          <w:b/>
          <w:color w:val="auto"/>
          <w:w w:val="100"/>
          <w:sz w:val="32"/>
          <w:lang w:val="en-US" w:eastAsia="zh-CN"/>
        </w:rPr>
        <w:t>10</w:t>
      </w:r>
      <w:r>
        <w:rPr>
          <w:rFonts w:hint="eastAsia" w:ascii="仿宋_GB2312" w:hAnsi="仿宋_GB2312" w:eastAsia="仿宋_GB2312"/>
          <w:b/>
          <w:color w:val="auto"/>
          <w:w w:val="100"/>
          <w:sz w:val="32"/>
          <w:lang w:eastAsia="zh-CN"/>
        </w:rPr>
        <w:t>件。</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color w:val="auto"/>
          <w:w w:val="100"/>
          <w:sz w:val="32"/>
          <w:lang w:eastAsia="zh-CN"/>
        </w:rPr>
      </w:pPr>
      <w:r>
        <w:rPr>
          <w:rFonts w:hint="eastAsia" w:ascii="楷体_GB2312" w:hAnsi="楷体_GB2312" w:eastAsia="楷体_GB2312"/>
          <w:b/>
          <w:color w:val="auto"/>
          <w:w w:val="100"/>
          <w:sz w:val="32"/>
          <w:lang w:eastAsia="zh-CN"/>
        </w:rPr>
        <w:t>（</w:t>
      </w:r>
      <w:r>
        <w:rPr>
          <w:rFonts w:hint="eastAsia" w:ascii="楷体_GB2312" w:hAnsi="楷体_GB2312" w:eastAsia="楷体_GB2312"/>
          <w:b/>
          <w:color w:val="auto"/>
          <w:w w:val="100"/>
          <w:sz w:val="32"/>
          <w:lang w:val="en-US" w:eastAsia="zh-CN"/>
        </w:rPr>
        <w:t>3</w:t>
      </w:r>
      <w:r>
        <w:rPr>
          <w:rFonts w:hint="eastAsia" w:ascii="楷体_GB2312" w:hAnsi="楷体_GB2312" w:eastAsia="楷体_GB2312"/>
          <w:b/>
          <w:color w:val="auto"/>
          <w:w w:val="100"/>
          <w:sz w:val="32"/>
          <w:lang w:eastAsia="zh-CN"/>
        </w:rPr>
        <w:t>）政策解读与回应</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t>一是加大政策解读力度。对起草的政策性文件，同步准备解读方案和解读材料，确保解读材料在文件公布后3个工作日内在区政府门户网站公开，实现了政策性文件与解读文章相关联，方便公众查阅，2019年共公共政策解读信息</w:t>
      </w:r>
      <w:r>
        <w:rPr>
          <w:rFonts w:hint="eastAsia" w:ascii="仿宋_GB2312" w:hAnsi="仿宋_GB2312" w:eastAsia="仿宋_GB2312"/>
          <w:b/>
          <w:color w:val="auto"/>
          <w:w w:val="100"/>
          <w:sz w:val="32"/>
          <w:lang w:val="en-US" w:eastAsia="zh-CN"/>
        </w:rPr>
        <w:t>1</w:t>
      </w:r>
      <w:r>
        <w:rPr>
          <w:rFonts w:hint="eastAsia" w:ascii="仿宋_GB2312" w:hAnsi="仿宋_GB2312" w:eastAsia="仿宋_GB2312"/>
          <w:b/>
          <w:color w:val="auto"/>
          <w:w w:val="100"/>
          <w:sz w:val="32"/>
          <w:lang w:eastAsia="zh-CN"/>
        </w:rPr>
        <w:t>件。二是通过书记信箱、政府门户网站网络问政平台及时回应社会关切。2019年，收到书记信箱、网络问政平台网民提出的问题</w:t>
      </w:r>
      <w:r>
        <w:rPr>
          <w:rFonts w:hint="eastAsia" w:ascii="仿宋_GB2312" w:hAnsi="仿宋_GB2312" w:eastAsia="仿宋_GB2312"/>
          <w:b/>
          <w:color w:val="auto"/>
          <w:w w:val="100"/>
          <w:sz w:val="32"/>
          <w:lang w:val="en-US" w:eastAsia="zh-CN"/>
        </w:rPr>
        <w:t>9</w:t>
      </w:r>
      <w:r>
        <w:rPr>
          <w:rFonts w:hint="eastAsia" w:ascii="仿宋_GB2312" w:hAnsi="仿宋_GB2312" w:eastAsia="仿宋_GB2312"/>
          <w:b/>
          <w:color w:val="auto"/>
          <w:w w:val="100"/>
          <w:sz w:val="32"/>
          <w:lang w:eastAsia="zh-CN"/>
        </w:rPr>
        <w:t>条，受理率100%，办结率100%、受理时效满意率100%，服务态度满意率100%，有效发挥了服务工人、服务企业、服务群众的作用。</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color w:val="auto"/>
          <w:w w:val="100"/>
          <w:sz w:val="32"/>
          <w:szCs w:val="22"/>
          <w:lang w:eastAsia="zh-CN"/>
        </w:rPr>
      </w:pPr>
      <w:r>
        <w:rPr>
          <w:rFonts w:hint="eastAsia" w:ascii="楷体_GB2312" w:hAnsi="楷体_GB2312" w:eastAsia="楷体_GB2312"/>
          <w:b/>
          <w:color w:val="auto"/>
          <w:w w:val="100"/>
          <w:sz w:val="32"/>
          <w:szCs w:val="22"/>
          <w:lang w:eastAsia="zh-CN"/>
        </w:rPr>
        <w:t>（</w:t>
      </w:r>
      <w:r>
        <w:rPr>
          <w:rFonts w:hint="eastAsia" w:ascii="楷体_GB2312" w:hAnsi="楷体_GB2312" w:eastAsia="楷体_GB2312"/>
          <w:b/>
          <w:color w:val="auto"/>
          <w:w w:val="100"/>
          <w:sz w:val="32"/>
          <w:szCs w:val="22"/>
          <w:lang w:val="en-US" w:eastAsia="zh-CN"/>
        </w:rPr>
        <w:t>4）</w:t>
      </w:r>
      <w:r>
        <w:rPr>
          <w:rFonts w:hint="eastAsia" w:ascii="楷体_GB2312" w:hAnsi="楷体_GB2312" w:eastAsia="楷体_GB2312"/>
          <w:b/>
          <w:color w:val="auto"/>
          <w:w w:val="100"/>
          <w:sz w:val="32"/>
          <w:szCs w:val="22"/>
          <w:lang w:eastAsia="zh-CN"/>
        </w:rPr>
        <w:t>人大代表建议、政协委员提案办理情况</w:t>
      </w:r>
    </w:p>
    <w:p>
      <w:pPr>
        <w:keepNext w:val="0"/>
        <w:keepLines w:val="0"/>
        <w:pageBreakBefore w:val="0"/>
        <w:widowControl/>
        <w:numPr>
          <w:ilvl w:val="0"/>
          <w:numId w:val="0"/>
        </w:numPr>
        <w:kinsoku/>
        <w:wordWrap/>
        <w:overflowPunct/>
        <w:topLinePunct w:val="0"/>
        <w:autoSpaceDE/>
        <w:autoSpaceDN/>
        <w:bidi w:val="0"/>
        <w:adjustRightInd/>
        <w:snapToGrid/>
        <w:spacing w:before="0" w:after="0" w:line="420" w:lineRule="atLeast"/>
        <w:ind w:firstLine="643" w:firstLineChars="200"/>
        <w:jc w:val="left"/>
        <w:textAlignment w:val="auto"/>
        <w:outlineLvl w:val="9"/>
        <w:rPr>
          <w:rFonts w:hint="eastAsia" w:ascii="楷体_GB2312" w:hAnsi="楷体_GB2312" w:eastAsia="楷体_GB2312"/>
          <w:b/>
          <w:color w:val="auto"/>
          <w:w w:val="100"/>
          <w:sz w:val="32"/>
          <w:szCs w:val="22"/>
          <w:lang w:eastAsia="zh-CN"/>
        </w:rPr>
      </w:pPr>
      <w:r>
        <w:rPr>
          <w:rFonts w:hint="eastAsia" w:ascii="仿宋_GB2312" w:hAnsi="仿宋_GB2312" w:eastAsia="仿宋_GB2312" w:cs="仿宋_GB2312"/>
          <w:b/>
          <w:bCs/>
          <w:color w:val="auto"/>
          <w:sz w:val="32"/>
          <w:szCs w:val="32"/>
        </w:rPr>
        <w:t>主动加强与人大代表和政协委员的沟通交流，提高服务意识，自觉接受人大依法监督和政协民主监督，</w:t>
      </w:r>
      <w:r>
        <w:rPr>
          <w:rFonts w:hint="eastAsia" w:ascii="仿宋_GB2312" w:hAnsi="仿宋_GB2312" w:eastAsia="仿宋_GB2312" w:cs="仿宋_GB2312"/>
          <w:b/>
          <w:bCs/>
          <w:color w:val="auto"/>
          <w:sz w:val="32"/>
          <w:szCs w:val="32"/>
          <w:lang w:val="en-US" w:eastAsia="zh-CN"/>
        </w:rPr>
        <w:t>2019年共办理</w:t>
      </w:r>
      <w:r>
        <w:rPr>
          <w:rFonts w:hint="eastAsia" w:ascii="仿宋_GB2312" w:hAnsi="仿宋_GB2312" w:eastAsia="仿宋_GB2312" w:cs="仿宋_GB2312"/>
          <w:b/>
          <w:bCs/>
          <w:color w:val="auto"/>
          <w:sz w:val="32"/>
          <w:szCs w:val="32"/>
        </w:rPr>
        <w:t>人大、政协提案</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件，并及时在建议提案办理栏目公开答复意见。</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w w:val="100"/>
          <w:sz w:val="32"/>
          <w:lang w:eastAsia="zh-CN"/>
        </w:rPr>
      </w:pPr>
      <w:r>
        <w:rPr>
          <w:rFonts w:hint="eastAsia" w:ascii="楷体_GB2312" w:hAnsi="楷体_GB2312" w:eastAsia="楷体_GB2312"/>
          <w:b/>
          <w:w w:val="100"/>
          <w:sz w:val="32"/>
          <w:lang w:eastAsia="zh-CN"/>
        </w:rPr>
        <w:t>（三）依申请公开</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cs="仿宋_GB2312"/>
          <w:b/>
          <w:color w:val="auto"/>
          <w:w w:val="100"/>
          <w:sz w:val="32"/>
          <w:lang w:eastAsia="zh-CN"/>
        </w:rPr>
      </w:pPr>
      <w:r>
        <w:rPr>
          <w:rFonts w:hint="eastAsia" w:ascii="楷体_GB2312" w:hAnsi="楷体_GB2312" w:eastAsia="楷体_GB2312"/>
          <w:b/>
          <w:w w:val="100"/>
          <w:sz w:val="32"/>
          <w:szCs w:val="22"/>
          <w:lang w:eastAsia="zh-CN"/>
        </w:rPr>
        <w:t>1、收到和处理政府信息公开申请情况。</w:t>
      </w:r>
      <w:r>
        <w:rPr>
          <w:rFonts w:hint="eastAsia" w:ascii="仿宋_GB2312" w:hAnsi="仿宋_GB2312" w:eastAsia="仿宋_GB2312" w:cs="仿宋_GB2312"/>
          <w:b/>
          <w:color w:val="auto"/>
          <w:w w:val="100"/>
          <w:sz w:val="32"/>
          <w:lang w:eastAsia="zh-CN"/>
        </w:rPr>
        <w:t>在编制的《曲阜市工业和信息化局政府信息公开指南》中，对依申请公开工作的程序、申请方式、答复方式、答复时限等做了详细规定。2019年，共收到政府信息公开申请</w:t>
      </w:r>
      <w:r>
        <w:rPr>
          <w:rFonts w:hint="eastAsia" w:ascii="仿宋_GB2312" w:hAnsi="仿宋_GB2312" w:eastAsia="仿宋_GB2312" w:cs="仿宋_GB2312"/>
          <w:b/>
          <w:color w:val="auto"/>
          <w:w w:val="100"/>
          <w:sz w:val="32"/>
          <w:lang w:val="en-US" w:eastAsia="zh-CN"/>
        </w:rPr>
        <w:t>1</w:t>
      </w:r>
      <w:r>
        <w:rPr>
          <w:rFonts w:hint="eastAsia" w:ascii="仿宋_GB2312" w:hAnsi="仿宋_GB2312" w:eastAsia="仿宋_GB2312" w:cs="仿宋_GB2312"/>
          <w:b/>
          <w:color w:val="auto"/>
          <w:w w:val="100"/>
          <w:sz w:val="32"/>
          <w:lang w:eastAsia="zh-CN"/>
        </w:rPr>
        <w:t>条，按时答复</w:t>
      </w:r>
      <w:r>
        <w:rPr>
          <w:rFonts w:hint="eastAsia" w:ascii="仿宋_GB2312" w:hAnsi="仿宋_GB2312" w:eastAsia="仿宋_GB2312" w:cs="仿宋_GB2312"/>
          <w:b/>
          <w:color w:val="auto"/>
          <w:w w:val="100"/>
          <w:sz w:val="32"/>
          <w:lang w:val="en-US" w:eastAsia="zh-CN"/>
        </w:rPr>
        <w:t>1</w:t>
      </w:r>
      <w:r>
        <w:rPr>
          <w:rFonts w:hint="eastAsia" w:ascii="仿宋_GB2312" w:hAnsi="仿宋_GB2312" w:eastAsia="仿宋_GB2312" w:cs="仿宋_GB2312"/>
          <w:b/>
          <w:color w:val="auto"/>
          <w:w w:val="100"/>
          <w:sz w:val="32"/>
          <w:lang w:eastAsia="zh-CN"/>
        </w:rPr>
        <w:t>条。</w:t>
      </w:r>
    </w:p>
    <w:p>
      <w:pPr>
        <w:keepNext w:val="0"/>
        <w:keepLines w:val="0"/>
        <w:pageBreakBefore w:val="0"/>
        <w:shd w:val="clear" w:color="FCFCFC" w:fill="FDFDFE"/>
        <w:kinsoku/>
        <w:wordWrap/>
        <w:overflowPunct/>
        <w:topLinePunct w:val="0"/>
        <w:autoSpaceDE/>
        <w:autoSpaceDN/>
        <w:bidi w:val="0"/>
        <w:adjustRightInd/>
        <w:snapToGrid/>
        <w:spacing w:before="0" w:after="0"/>
        <w:ind w:left="0" w:leftChars="0" w:firstLine="643" w:firstLineChars="200"/>
        <w:jc w:val="left"/>
        <w:textAlignment w:val="auto"/>
        <w:outlineLvl w:val="9"/>
        <w:rPr>
          <w:rFonts w:hint="eastAsia" w:ascii="仿宋_GB2312" w:hAnsi="仿宋_GB2312" w:eastAsia="仿宋_GB2312" w:cs="仿宋_GB2312"/>
          <w:b/>
          <w:i w:val="0"/>
          <w:color w:val="auto"/>
          <w:w w:val="100"/>
          <w:sz w:val="32"/>
        </w:rPr>
      </w:pPr>
      <w:r>
        <w:rPr>
          <w:rFonts w:hint="eastAsia" w:ascii="楷体_GB2312" w:hAnsi="楷体_GB2312" w:eastAsia="楷体_GB2312"/>
          <w:b/>
          <w:w w:val="100"/>
          <w:sz w:val="32"/>
          <w:szCs w:val="22"/>
          <w:lang w:eastAsia="zh-CN"/>
        </w:rPr>
        <w:t>2、收费减免情况。</w:t>
      </w:r>
      <w:r>
        <w:rPr>
          <w:rFonts w:hint="eastAsia" w:ascii="仿宋_GB2312" w:hAnsi="仿宋_GB2312" w:eastAsia="仿宋_GB2312" w:cs="仿宋_GB2312"/>
          <w:b/>
          <w:i w:val="0"/>
          <w:color w:val="auto"/>
          <w:w w:val="100"/>
          <w:sz w:val="32"/>
        </w:rPr>
        <w:t>根据财政部、国家发展改革委联合印发的《关于清理规范一批行政事业性收费有关政策的通知》规定，本年度本局依申请公开政府信息未向申请人收取任何费用。</w:t>
      </w:r>
    </w:p>
    <w:p>
      <w:pPr>
        <w:keepNext w:val="0"/>
        <w:keepLines w:val="0"/>
        <w:pageBreakBefore w:val="0"/>
        <w:shd w:val="clear" w:color="FCFCFC" w:fill="FDFDFE"/>
        <w:kinsoku/>
        <w:wordWrap/>
        <w:overflowPunct/>
        <w:topLinePunct w:val="0"/>
        <w:autoSpaceDE/>
        <w:autoSpaceDN/>
        <w:bidi w:val="0"/>
        <w:adjustRightInd/>
        <w:snapToGrid/>
        <w:spacing w:before="0" w:after="0"/>
        <w:ind w:left="0" w:leftChars="0" w:firstLine="643" w:firstLineChars="200"/>
        <w:jc w:val="left"/>
        <w:textAlignment w:val="auto"/>
        <w:outlineLvl w:val="9"/>
        <w:rPr>
          <w:rFonts w:hint="eastAsia" w:ascii="仿宋_GB2312" w:hAnsi="仿宋_GB2312" w:eastAsia="仿宋_GB2312" w:cs="仿宋_GB2312"/>
          <w:b/>
          <w:color w:val="auto"/>
          <w:w w:val="100"/>
          <w:sz w:val="32"/>
          <w:lang w:eastAsia="zh-CN"/>
        </w:rPr>
      </w:pPr>
      <w:r>
        <w:rPr>
          <w:rFonts w:hint="eastAsia" w:ascii="楷体_GB2312" w:hAnsi="楷体_GB2312" w:eastAsia="楷体_GB2312"/>
          <w:b/>
          <w:w w:val="100"/>
          <w:sz w:val="32"/>
          <w:szCs w:val="22"/>
          <w:lang w:eastAsia="zh-CN"/>
        </w:rPr>
        <w:t>3、政府信息公开行政复议、行政诉讼情况。</w:t>
      </w:r>
      <w:r>
        <w:rPr>
          <w:rFonts w:hint="eastAsia" w:ascii="仿宋_GB2312" w:hAnsi="仿宋_GB2312" w:eastAsia="仿宋_GB2312" w:cs="仿宋_GB2312"/>
          <w:b/>
          <w:i w:val="0"/>
          <w:color w:val="auto"/>
          <w:w w:val="100"/>
          <w:sz w:val="32"/>
        </w:rPr>
        <w:t>本年度，未收到以政府信息公开为由提起的行政复议和行政诉讼。</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w w:val="100"/>
          <w:sz w:val="32"/>
          <w:lang w:eastAsia="zh-CN"/>
        </w:rPr>
      </w:pPr>
      <w:r>
        <w:rPr>
          <w:rFonts w:hint="eastAsia" w:ascii="楷体_GB2312" w:hAnsi="楷体_GB2312" w:eastAsia="楷体_GB2312"/>
          <w:b/>
          <w:w w:val="100"/>
          <w:sz w:val="32"/>
          <w:lang w:eastAsia="zh-CN"/>
        </w:rPr>
        <w:t>（四）政府信息管理</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严格遵循“谁公开谁审查、谁审查谁负责”和“先审查、后公开”的原则，指定专人负责，全力做好需公开政府信息的保密审查工作。认真落实公开属性源头认定机制，制发的文件对公开属性进行明确标识，从源头上保障了公开信息不涉密、涉密信息不公开。建立政府信息公开保密审查工作机制，凡是主动公开的政府信息统一填报《政府信息公开审核表》，经层层把关，最后经主要负责人签字同意后公开。2019年，市工业和信息化局未发生政府信息公开泄密事件。</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w w:val="100"/>
          <w:sz w:val="32"/>
          <w:lang w:eastAsia="zh-CN"/>
        </w:rPr>
      </w:pPr>
      <w:r>
        <w:rPr>
          <w:rFonts w:hint="eastAsia" w:ascii="楷体_GB2312" w:hAnsi="楷体_GB2312" w:eastAsia="楷体_GB2312"/>
          <w:b/>
          <w:w w:val="100"/>
          <w:sz w:val="32"/>
          <w:lang w:eastAsia="zh-CN"/>
        </w:rPr>
        <w:t>（五）机构人员和平台建设情况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市工业和信息化局行业办公室是本机关的政府信息公开工作机构，现有兼职工作人员</w:t>
      </w:r>
      <w:r>
        <w:rPr>
          <w:rFonts w:hint="eastAsia" w:ascii="仿宋_GB2312" w:hAnsi="仿宋_GB2312" w:eastAsia="仿宋_GB2312"/>
          <w:b/>
          <w:w w:val="100"/>
          <w:sz w:val="32"/>
          <w:lang w:val="en-US" w:eastAsia="zh-CN"/>
        </w:rPr>
        <w:t>2</w:t>
      </w:r>
      <w:r>
        <w:rPr>
          <w:rFonts w:hint="eastAsia" w:ascii="仿宋_GB2312" w:hAnsi="仿宋_GB2312" w:eastAsia="仿宋_GB2312"/>
          <w:b/>
          <w:w w:val="100"/>
          <w:sz w:val="32"/>
          <w:lang w:eastAsia="zh-CN"/>
        </w:rPr>
        <w:t>人，其中负责受理信息公开申请的兼职工作人员和负责网站子点新闻发布1人，新媒体日常内容保障的兼职工作人员和负责政务信息公开1人。</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楷体_GB2312" w:hAnsi="楷体_GB2312" w:eastAsia="楷体_GB2312"/>
          <w:b/>
          <w:w w:val="100"/>
          <w:sz w:val="32"/>
          <w:lang w:eastAsia="zh-CN"/>
        </w:rPr>
        <w:t>（六）监督保障情况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w w:val="100"/>
          <w:sz w:val="32"/>
          <w:lang w:eastAsia="zh-CN"/>
        </w:rPr>
      </w:pPr>
      <w:r>
        <w:rPr>
          <w:rFonts w:hint="eastAsia" w:ascii="仿宋_GB2312" w:hAnsi="仿宋_GB2312" w:eastAsia="仿宋_GB2312"/>
          <w:b/>
          <w:w w:val="100"/>
          <w:sz w:val="32"/>
          <w:lang w:eastAsia="zh-CN"/>
        </w:rPr>
        <w:t>本机关高度重视对全市工信系统政务公开和信息公开工作的指导监督，印发了《曲阜市工业和信息化局政府信息主动公开目录》和《曲阜市工业和信息化局政府信息公开指南》，要求各科室认真落实“放管服”改革任务，推动行政权力运行公开；继续全面推进“五公开”；聚焦群众关切，强化政策解读和舆情回应；不断强化平台建设，做好企业重点领域信息公开等，进一步提高了我市工信系统政务公开和信息公开工作制度化、规范化、标准化水平，我市企业事业透明度不断提升，在全社会营造了社会公众关心企业、支持企业、参与企业的良好氛围。</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黑体" w:hAnsi="黑体" w:eastAsia="黑体"/>
          <w:w w:val="100"/>
          <w:sz w:val="32"/>
          <w:lang w:eastAsia="zh-CN"/>
        </w:rPr>
      </w:pPr>
      <w:r>
        <w:rPr>
          <w:rFonts w:ascii="黑体" w:hAnsi="黑体" w:eastAsia="黑体"/>
          <w:b/>
          <w:w w:val="100"/>
          <w:sz w:val="32"/>
        </w:rPr>
        <w:t>二、主动公开政府信息情况</w:t>
      </w:r>
    </w:p>
    <w:tbl>
      <w:tblPr>
        <w:tblStyle w:val="3"/>
        <w:tblW w:w="0" w:type="auto"/>
        <w:jc w:val="center"/>
        <w:tblLayout w:type="fixed"/>
        <w:tblCellMar>
          <w:top w:w="0" w:type="dxa"/>
          <w:left w:w="0" w:type="dxa"/>
          <w:bottom w:w="0" w:type="dxa"/>
          <w:right w:w="0" w:type="dxa"/>
        </w:tblCellMar>
      </w:tblPr>
      <w:tblGrid>
        <w:gridCol w:w="3120"/>
        <w:gridCol w:w="1875"/>
        <w:gridCol w:w="1275"/>
        <w:gridCol w:w="1875"/>
      </w:tblGrid>
      <w:tr>
        <w:tblPrEx>
          <w:tblCellMar>
            <w:top w:w="0" w:type="dxa"/>
            <w:left w:w="0" w:type="dxa"/>
            <w:bottom w:w="0" w:type="dxa"/>
            <w:right w:w="0" w:type="dxa"/>
          </w:tblCellMar>
        </w:tblPrEx>
        <w:trPr>
          <w:trHeight w:val="495" w:hRule="atLeast"/>
          <w:jc w:val="center"/>
        </w:trPr>
        <w:tc>
          <w:tcPr>
            <w:tcW w:w="8145" w:type="dxa"/>
            <w:gridSpan w:val="4"/>
            <w:tcBorders>
              <w:top w:val="single" w:color="000000" w:sz="6" w:space="0"/>
              <w:left w:val="single" w:color="000000" w:sz="6" w:space="0"/>
              <w:bottom w:val="single" w:color="000000" w:sz="6" w:space="0"/>
              <w:right w:val="single" w:color="000000" w:sz="6" w:space="0"/>
            </w:tcBorders>
            <w:shd w:val="clear" w:color="auto" w:fill="C6D9F1"/>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第二十条第（一）项</w:t>
            </w:r>
          </w:p>
        </w:tc>
      </w:tr>
      <w:tr>
        <w:tblPrEx>
          <w:tblCellMar>
            <w:top w:w="0" w:type="dxa"/>
            <w:left w:w="0" w:type="dxa"/>
            <w:bottom w:w="0" w:type="dxa"/>
            <w:right w:w="0" w:type="dxa"/>
          </w:tblCellMar>
        </w:tblPrEx>
        <w:trPr>
          <w:trHeight w:val="885"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信息内容</w:t>
            </w:r>
          </w:p>
        </w:tc>
        <w:tc>
          <w:tcPr>
            <w:tcW w:w="1875"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本年新制作数量</w:t>
            </w:r>
          </w:p>
        </w:tc>
        <w:tc>
          <w:tcPr>
            <w:tcW w:w="1275"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本年新公开数量</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对外公开总数量</w:t>
            </w:r>
          </w:p>
        </w:tc>
      </w:tr>
      <w:tr>
        <w:tblPrEx>
          <w:tblCellMar>
            <w:top w:w="0" w:type="dxa"/>
            <w:left w:w="0" w:type="dxa"/>
            <w:bottom w:w="0" w:type="dxa"/>
            <w:right w:w="0" w:type="dxa"/>
          </w:tblCellMar>
        </w:tblPrEx>
        <w:trPr>
          <w:trHeight w:val="525"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规章</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12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CellMar>
            <w:top w:w="0" w:type="dxa"/>
            <w:left w:w="0" w:type="dxa"/>
            <w:bottom w:w="0" w:type="dxa"/>
            <w:right w:w="0" w:type="dxa"/>
          </w:tblCellMar>
        </w:tblPrEx>
        <w:trPr>
          <w:trHeight w:val="465"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规范性文件</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12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CellMar>
            <w:top w:w="0" w:type="dxa"/>
            <w:left w:w="0" w:type="dxa"/>
            <w:bottom w:w="0" w:type="dxa"/>
            <w:right w:w="0" w:type="dxa"/>
          </w:tblCellMar>
        </w:tblPrEx>
        <w:trPr>
          <w:trHeight w:val="480" w:hRule="atLeast"/>
          <w:jc w:val="center"/>
        </w:trPr>
        <w:tc>
          <w:tcPr>
            <w:tcW w:w="8145" w:type="dxa"/>
            <w:gridSpan w:val="4"/>
            <w:tcBorders>
              <w:left w:val="single" w:color="000000" w:sz="6" w:space="0"/>
              <w:bottom w:val="single" w:color="000000" w:sz="6" w:space="0"/>
              <w:right w:val="single" w:color="000000" w:sz="6" w:space="0"/>
            </w:tcBorders>
            <w:shd w:val="clear" w:color="auto" w:fill="C6D9F1"/>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第二十条第（五）项</w:t>
            </w:r>
          </w:p>
        </w:tc>
      </w:tr>
      <w:tr>
        <w:tblPrEx>
          <w:tblCellMar>
            <w:top w:w="0" w:type="dxa"/>
            <w:left w:w="0" w:type="dxa"/>
            <w:bottom w:w="0" w:type="dxa"/>
            <w:right w:w="0" w:type="dxa"/>
          </w:tblCellMar>
        </w:tblPrEx>
        <w:trPr>
          <w:trHeight w:val="630"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信息内容</w:t>
            </w:r>
          </w:p>
        </w:tc>
        <w:tc>
          <w:tcPr>
            <w:tcW w:w="1875"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上一年项目数量</w:t>
            </w:r>
          </w:p>
        </w:tc>
        <w:tc>
          <w:tcPr>
            <w:tcW w:w="1275"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本年增/减</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处理决定数量</w:t>
            </w:r>
          </w:p>
        </w:tc>
      </w:tr>
      <w:tr>
        <w:tblPrEx>
          <w:tblCellMar>
            <w:top w:w="0" w:type="dxa"/>
            <w:left w:w="0" w:type="dxa"/>
            <w:bottom w:w="0" w:type="dxa"/>
            <w:right w:w="0" w:type="dxa"/>
          </w:tblCellMar>
        </w:tblPrEx>
        <w:trPr>
          <w:trHeight w:val="525"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行政许可</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val="en-US" w:eastAsia="zh-CN"/>
              </w:rPr>
              <w:t>0</w:t>
            </w:r>
          </w:p>
        </w:tc>
        <w:tc>
          <w:tcPr>
            <w:tcW w:w="12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val="en-US" w:eastAsia="zh-CN"/>
              </w:rPr>
              <w:t>0</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val="en-US" w:eastAsia="zh-CN"/>
              </w:rPr>
              <w:t>0</w:t>
            </w:r>
          </w:p>
        </w:tc>
      </w:tr>
      <w:tr>
        <w:tblPrEx>
          <w:tblCellMar>
            <w:top w:w="0" w:type="dxa"/>
            <w:left w:w="0" w:type="dxa"/>
            <w:bottom w:w="0" w:type="dxa"/>
            <w:right w:w="0" w:type="dxa"/>
          </w:tblCellMar>
        </w:tblPrEx>
        <w:trPr>
          <w:trHeight w:val="555"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其他对外管理服务事项</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12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CellMar>
            <w:top w:w="0" w:type="dxa"/>
            <w:left w:w="0" w:type="dxa"/>
            <w:bottom w:w="0" w:type="dxa"/>
            <w:right w:w="0" w:type="dxa"/>
          </w:tblCellMar>
        </w:tblPrEx>
        <w:trPr>
          <w:trHeight w:val="405" w:hRule="atLeast"/>
          <w:jc w:val="center"/>
        </w:trPr>
        <w:tc>
          <w:tcPr>
            <w:tcW w:w="8145" w:type="dxa"/>
            <w:gridSpan w:val="4"/>
            <w:tcBorders>
              <w:left w:val="single" w:color="000000" w:sz="6" w:space="0"/>
              <w:bottom w:val="single" w:color="000000" w:sz="6" w:space="0"/>
              <w:right w:val="single" w:color="000000" w:sz="6" w:space="0"/>
            </w:tcBorders>
            <w:shd w:val="clear" w:color="auto" w:fill="C6D9F1"/>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第二十条第（六）项</w:t>
            </w:r>
          </w:p>
        </w:tc>
      </w:tr>
      <w:tr>
        <w:tblPrEx>
          <w:tblCellMar>
            <w:top w:w="0" w:type="dxa"/>
            <w:left w:w="0" w:type="dxa"/>
            <w:bottom w:w="0" w:type="dxa"/>
            <w:right w:w="0" w:type="dxa"/>
          </w:tblCellMar>
        </w:tblPrEx>
        <w:trPr>
          <w:trHeight w:val="630"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信息内容</w:t>
            </w:r>
          </w:p>
        </w:tc>
        <w:tc>
          <w:tcPr>
            <w:tcW w:w="1875"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上一年项目数量</w:t>
            </w:r>
          </w:p>
        </w:tc>
        <w:tc>
          <w:tcPr>
            <w:tcW w:w="1275"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本年增/减</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处理决定数量</w:t>
            </w:r>
          </w:p>
        </w:tc>
      </w:tr>
      <w:tr>
        <w:tblPrEx>
          <w:tblCellMar>
            <w:top w:w="0" w:type="dxa"/>
            <w:left w:w="0" w:type="dxa"/>
            <w:bottom w:w="0" w:type="dxa"/>
            <w:right w:w="0" w:type="dxa"/>
          </w:tblCellMar>
        </w:tblPrEx>
        <w:trPr>
          <w:trHeight w:val="435"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行政处罚</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val="en-US" w:eastAsia="zh-CN"/>
              </w:rPr>
              <w:t>0</w:t>
            </w:r>
          </w:p>
        </w:tc>
        <w:tc>
          <w:tcPr>
            <w:tcW w:w="12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val="en-US" w:eastAsia="zh-CN"/>
              </w:rPr>
              <w:t>0</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val="en-US" w:eastAsia="zh-CN"/>
              </w:rPr>
              <w:t>0</w:t>
            </w:r>
          </w:p>
        </w:tc>
      </w:tr>
      <w:tr>
        <w:tblPrEx>
          <w:tblCellMar>
            <w:top w:w="0" w:type="dxa"/>
            <w:left w:w="0" w:type="dxa"/>
            <w:bottom w:w="0" w:type="dxa"/>
            <w:right w:w="0" w:type="dxa"/>
          </w:tblCellMar>
        </w:tblPrEx>
        <w:trPr>
          <w:trHeight w:val="405"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行政强制</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eastAsia="zh-CN"/>
              </w:rPr>
              <w:t>0</w:t>
            </w:r>
          </w:p>
        </w:tc>
        <w:tc>
          <w:tcPr>
            <w:tcW w:w="12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eastAsia="zh-CN"/>
              </w:rPr>
              <w:t>0</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eastAsia="zh-CN"/>
              </w:rPr>
              <w:t>0</w:t>
            </w:r>
          </w:p>
        </w:tc>
      </w:tr>
      <w:tr>
        <w:tblPrEx>
          <w:tblCellMar>
            <w:top w:w="0" w:type="dxa"/>
            <w:left w:w="0" w:type="dxa"/>
            <w:bottom w:w="0" w:type="dxa"/>
            <w:right w:w="0" w:type="dxa"/>
          </w:tblCellMar>
        </w:tblPrEx>
        <w:trPr>
          <w:trHeight w:val="480" w:hRule="atLeast"/>
          <w:jc w:val="center"/>
        </w:trPr>
        <w:tc>
          <w:tcPr>
            <w:tcW w:w="8145" w:type="dxa"/>
            <w:gridSpan w:val="4"/>
            <w:tcBorders>
              <w:left w:val="single" w:color="000000" w:sz="6" w:space="0"/>
              <w:bottom w:val="single" w:color="000000" w:sz="6" w:space="0"/>
              <w:right w:val="single" w:color="000000" w:sz="6" w:space="0"/>
            </w:tcBorders>
            <w:shd w:val="clear" w:color="auto" w:fill="C6D9F1"/>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第二十条第（八）项</w:t>
            </w:r>
          </w:p>
        </w:tc>
      </w:tr>
      <w:tr>
        <w:tblPrEx>
          <w:tblCellMar>
            <w:top w:w="0" w:type="dxa"/>
            <w:left w:w="0" w:type="dxa"/>
            <w:bottom w:w="0" w:type="dxa"/>
            <w:right w:w="0" w:type="dxa"/>
          </w:tblCellMar>
        </w:tblPrEx>
        <w:trPr>
          <w:trHeight w:val="270"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信息内容</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上一年项目数量</w:t>
            </w:r>
          </w:p>
        </w:tc>
        <w:tc>
          <w:tcPr>
            <w:tcW w:w="3150" w:type="dxa"/>
            <w:gridSpan w:val="2"/>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本年增/减</w:t>
            </w:r>
          </w:p>
        </w:tc>
      </w:tr>
      <w:tr>
        <w:tblPrEx>
          <w:tblCellMar>
            <w:top w:w="0" w:type="dxa"/>
            <w:left w:w="0" w:type="dxa"/>
            <w:bottom w:w="0" w:type="dxa"/>
            <w:right w:w="0" w:type="dxa"/>
          </w:tblCellMar>
        </w:tblPrEx>
        <w:trPr>
          <w:trHeight w:val="555"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行政事业性收费</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3150" w:type="dxa"/>
            <w:gridSpan w:val="2"/>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CellMar>
            <w:top w:w="0" w:type="dxa"/>
            <w:left w:w="0" w:type="dxa"/>
            <w:bottom w:w="0" w:type="dxa"/>
            <w:right w:w="0" w:type="dxa"/>
          </w:tblCellMar>
        </w:tblPrEx>
        <w:trPr>
          <w:trHeight w:val="480" w:hRule="atLeast"/>
          <w:jc w:val="center"/>
        </w:trPr>
        <w:tc>
          <w:tcPr>
            <w:tcW w:w="8145" w:type="dxa"/>
            <w:gridSpan w:val="4"/>
            <w:tcBorders>
              <w:left w:val="single" w:color="000000" w:sz="6" w:space="0"/>
              <w:bottom w:val="single" w:color="000000" w:sz="6" w:space="0"/>
              <w:right w:val="single" w:color="000000" w:sz="6" w:space="0"/>
            </w:tcBorders>
            <w:shd w:val="clear" w:color="auto" w:fill="C6D9F1"/>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第二十条第（九）项</w:t>
            </w:r>
          </w:p>
        </w:tc>
      </w:tr>
      <w:tr>
        <w:tblPrEx>
          <w:tblCellMar>
            <w:top w:w="0" w:type="dxa"/>
            <w:left w:w="0" w:type="dxa"/>
            <w:bottom w:w="0" w:type="dxa"/>
            <w:right w:w="0" w:type="dxa"/>
          </w:tblCellMar>
        </w:tblPrEx>
        <w:trPr>
          <w:trHeight w:val="585"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信息内容</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采购项目数量</w:t>
            </w:r>
          </w:p>
        </w:tc>
        <w:tc>
          <w:tcPr>
            <w:tcW w:w="3150" w:type="dxa"/>
            <w:gridSpan w:val="2"/>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采购总金额</w:t>
            </w:r>
          </w:p>
        </w:tc>
      </w:tr>
      <w:tr>
        <w:tblPrEx>
          <w:tblCellMar>
            <w:top w:w="0" w:type="dxa"/>
            <w:left w:w="0" w:type="dxa"/>
            <w:bottom w:w="0" w:type="dxa"/>
            <w:right w:w="0" w:type="dxa"/>
          </w:tblCellMar>
        </w:tblPrEx>
        <w:trPr>
          <w:trHeight w:val="540" w:hRule="atLeast"/>
          <w:jc w:val="center"/>
        </w:trPr>
        <w:tc>
          <w:tcPr>
            <w:tcW w:w="3120"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政府集中采购</w:t>
            </w:r>
          </w:p>
        </w:tc>
        <w:tc>
          <w:tcPr>
            <w:tcW w:w="187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val="en-US" w:eastAsia="zh-CN"/>
              </w:rPr>
              <w:t>0</w:t>
            </w:r>
          </w:p>
        </w:tc>
        <w:tc>
          <w:tcPr>
            <w:tcW w:w="3150" w:type="dxa"/>
            <w:gridSpan w:val="2"/>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val="en-US" w:eastAsia="zh-CN"/>
              </w:rPr>
              <w:t>0</w:t>
            </w:r>
          </w:p>
        </w:tc>
      </w:tr>
    </w:tbl>
    <w:p>
      <w:pPr>
        <w:keepNext w:val="0"/>
        <w:keepLines w:val="0"/>
        <w:pageBreakBefore w:val="0"/>
        <w:widowControl/>
        <w:shd w:val="clear" w:color="000000" w:fill="FFFFFF"/>
        <w:kinsoku/>
        <w:wordWrap/>
        <w:overflowPunct/>
        <w:topLinePunct w:val="0"/>
        <w:autoSpaceDE/>
        <w:autoSpaceDN/>
        <w:bidi w:val="0"/>
        <w:adjustRightInd/>
        <w:snapToGrid/>
        <w:spacing w:before="0" w:after="240" w:line="420" w:lineRule="atLeast"/>
        <w:ind w:left="0" w:leftChars="0" w:firstLine="643" w:firstLineChars="200"/>
        <w:jc w:val="both"/>
        <w:textAlignment w:val="auto"/>
        <w:outlineLvl w:val="9"/>
        <w:rPr>
          <w:rFonts w:hint="eastAsia" w:ascii="黑体" w:hAnsi="黑体" w:eastAsia="黑体"/>
          <w:w w:val="100"/>
          <w:sz w:val="32"/>
          <w:lang w:eastAsia="zh-CN"/>
        </w:rPr>
      </w:pPr>
      <w:r>
        <w:rPr>
          <w:rFonts w:ascii="黑体" w:hAnsi="黑体" w:eastAsia="黑体"/>
          <w:b/>
          <w:w w:val="100"/>
          <w:sz w:val="32"/>
          <w:shd w:val="clear" w:color="000000" w:fill="FFFFFF"/>
        </w:rPr>
        <w:t>三、收到和处理政府信息公开申请情况</w:t>
      </w:r>
    </w:p>
    <w:tbl>
      <w:tblPr>
        <w:tblStyle w:val="3"/>
        <w:tblW w:w="8199" w:type="dxa"/>
        <w:jc w:val="center"/>
        <w:tblLayout w:type="autofit"/>
        <w:tblCellMar>
          <w:top w:w="0" w:type="dxa"/>
          <w:left w:w="0" w:type="dxa"/>
          <w:bottom w:w="0" w:type="dxa"/>
          <w:right w:w="0" w:type="dxa"/>
        </w:tblCellMar>
      </w:tblPr>
      <w:tblGrid>
        <w:gridCol w:w="1078"/>
        <w:gridCol w:w="1019"/>
        <w:gridCol w:w="1900"/>
        <w:gridCol w:w="527"/>
        <w:gridCol w:w="605"/>
        <w:gridCol w:w="605"/>
        <w:gridCol w:w="796"/>
        <w:gridCol w:w="752"/>
        <w:gridCol w:w="468"/>
        <w:gridCol w:w="449"/>
      </w:tblGrid>
      <w:tr>
        <w:tblPrEx>
          <w:tblCellMar>
            <w:top w:w="0" w:type="dxa"/>
            <w:left w:w="0" w:type="dxa"/>
            <w:bottom w:w="0" w:type="dxa"/>
            <w:right w:w="0" w:type="dxa"/>
          </w:tblCellMar>
        </w:tblPrEx>
        <w:trPr>
          <w:trHeight w:val="666" w:hRule="atLeast"/>
          <w:jc w:val="center"/>
        </w:trPr>
        <w:tc>
          <w:tcPr>
            <w:tcW w:w="0" w:type="auto"/>
            <w:gridSpan w:val="3"/>
            <w:vMerge w:val="restar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（本列数据的勾稽关系为：第一项加第二项之和，等于第三项加第四项之和）</w:t>
            </w:r>
          </w:p>
        </w:tc>
        <w:tc>
          <w:tcPr>
            <w:tcW w:w="0" w:type="auto"/>
            <w:gridSpan w:val="7"/>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申请人情况</w:t>
            </w:r>
          </w:p>
        </w:tc>
      </w:tr>
      <w:tr>
        <w:tblPrEx>
          <w:tblCellMar>
            <w:top w:w="0" w:type="dxa"/>
            <w:left w:w="0" w:type="dxa"/>
            <w:bottom w:w="0" w:type="dxa"/>
            <w:right w:w="0" w:type="dxa"/>
          </w:tblCellMar>
        </w:tblPrEx>
        <w:trPr>
          <w:trHeight w:val="666" w:hRule="atLeast"/>
          <w:jc w:val="center"/>
        </w:trPr>
        <w:tc>
          <w:tcPr>
            <w:tcW w:w="0" w:type="auto"/>
            <w:gridSpan w:val="3"/>
            <w:vMerge w:val="continue"/>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p>
        </w:tc>
        <w:tc>
          <w:tcPr>
            <w:tcW w:w="0" w:type="auto"/>
            <w:vMerge w:val="restart"/>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自然人</w:t>
            </w:r>
          </w:p>
        </w:tc>
        <w:tc>
          <w:tcPr>
            <w:tcW w:w="0" w:type="auto"/>
            <w:gridSpan w:val="5"/>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法人或其他组织</w:t>
            </w:r>
          </w:p>
        </w:tc>
        <w:tc>
          <w:tcPr>
            <w:tcW w:w="0" w:type="auto"/>
            <w:vMerge w:val="restart"/>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总计</w:t>
            </w:r>
          </w:p>
        </w:tc>
      </w:tr>
      <w:tr>
        <w:tblPrEx>
          <w:tblCellMar>
            <w:top w:w="0" w:type="dxa"/>
            <w:left w:w="0" w:type="dxa"/>
            <w:bottom w:w="0" w:type="dxa"/>
            <w:right w:w="0" w:type="dxa"/>
          </w:tblCellMar>
        </w:tblPrEx>
        <w:trPr>
          <w:trHeight w:val="1111" w:hRule="atLeast"/>
          <w:jc w:val="center"/>
        </w:trPr>
        <w:tc>
          <w:tcPr>
            <w:tcW w:w="0" w:type="auto"/>
            <w:gridSpan w:val="3"/>
            <w:vMerge w:val="continue"/>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商业企业</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科研机构</w:t>
            </w:r>
          </w:p>
        </w:tc>
        <w:tc>
          <w:tcPr>
            <w:tcW w:w="796"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社会公益组织</w:t>
            </w:r>
          </w:p>
        </w:tc>
        <w:tc>
          <w:tcPr>
            <w:tcW w:w="752"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法律服务机构</w:t>
            </w:r>
          </w:p>
        </w:tc>
        <w:tc>
          <w:tcPr>
            <w:tcW w:w="468"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其他</w:t>
            </w:r>
          </w:p>
        </w:tc>
        <w:tc>
          <w:tcPr>
            <w:tcW w:w="0" w:type="auto"/>
            <w:vMerge w:val="continue"/>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p>
        </w:tc>
      </w:tr>
      <w:tr>
        <w:tblPrEx>
          <w:tblCellMar>
            <w:top w:w="0" w:type="dxa"/>
            <w:left w:w="0" w:type="dxa"/>
            <w:bottom w:w="0" w:type="dxa"/>
            <w:right w:w="0" w:type="dxa"/>
          </w:tblCellMar>
        </w:tblPrEx>
        <w:trPr>
          <w:trHeight w:val="666" w:hRule="atLeast"/>
          <w:jc w:val="center"/>
        </w:trPr>
        <w:tc>
          <w:tcPr>
            <w:tcW w:w="0" w:type="auto"/>
            <w:gridSpan w:val="3"/>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一、本年新收政府信息公开申请数量</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val="en-US" w:eastAsia="zh-CN"/>
              </w:rPr>
              <w:t>1</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val="en-US" w:eastAsia="zh-CN"/>
              </w:rPr>
              <w:t>1</w:t>
            </w:r>
          </w:p>
        </w:tc>
      </w:tr>
      <w:tr>
        <w:tblPrEx>
          <w:tblCellMar>
            <w:top w:w="0" w:type="dxa"/>
            <w:left w:w="0" w:type="dxa"/>
            <w:bottom w:w="0" w:type="dxa"/>
            <w:right w:w="0" w:type="dxa"/>
          </w:tblCellMar>
        </w:tblPrEx>
        <w:trPr>
          <w:trHeight w:val="666" w:hRule="atLeast"/>
          <w:jc w:val="center"/>
        </w:trPr>
        <w:tc>
          <w:tcPr>
            <w:tcW w:w="0" w:type="auto"/>
            <w:gridSpan w:val="3"/>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二、上年结转政府信息公开申请数量</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restart"/>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三、本年度办理结果</w:t>
            </w:r>
          </w:p>
        </w:tc>
        <w:tc>
          <w:tcPr>
            <w:tcW w:w="0" w:type="auto"/>
            <w:gridSpan w:val="2"/>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（一）予以公开</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val="en-US" w:eastAsia="zh-CN"/>
              </w:rPr>
              <w:t>1</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val="en-US" w:eastAsia="zh-CN"/>
              </w:rPr>
              <w:t>1</w:t>
            </w:r>
          </w:p>
        </w:tc>
      </w:tr>
      <w:tr>
        <w:tblPrEx>
          <w:tblCellMar>
            <w:top w:w="0" w:type="dxa"/>
            <w:left w:w="0" w:type="dxa"/>
            <w:bottom w:w="0" w:type="dxa"/>
            <w:right w:w="0" w:type="dxa"/>
          </w:tblCellMar>
        </w:tblPrEx>
        <w:trPr>
          <w:trHeight w:val="641"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gridSpan w:val="2"/>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（二）部分公开（区分处理的，只计这一情形，不计其他情形）</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restart"/>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（三）不予公开</w:t>
            </w:r>
          </w:p>
          <w:p>
            <w:pPr>
              <w:widowControl/>
              <w:autoSpaceDE/>
              <w:autoSpaceDN/>
              <w:snapToGrid/>
              <w:spacing w:before="0" w:after="180" w:line="420" w:lineRule="atLeast"/>
              <w:ind w:left="0" w:firstLine="0"/>
              <w:jc w:val="left"/>
              <w:rPr>
                <w:rFonts w:ascii="宋体"/>
                <w:w w:val="100"/>
                <w:sz w:val="16"/>
                <w:szCs w:val="16"/>
              </w:rPr>
            </w:pP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1.属于国家秘密</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16"/>
                <w:szCs w:val="16"/>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2.其他法律行政法规禁止公开</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16"/>
                <w:szCs w:val="16"/>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3.危及“三安全一稳定”</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16"/>
                <w:szCs w:val="16"/>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4.保护第三方合法权益</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16"/>
                <w:szCs w:val="16"/>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5.属于三类内部事务信息</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16"/>
                <w:szCs w:val="16"/>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6.属于四类过程性信息</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16"/>
                <w:szCs w:val="16"/>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7.属于行政执法案卷</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16"/>
                <w:szCs w:val="16"/>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8.属于行政查询事项</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restart"/>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（四）无法提供</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1.本机关不掌握相关政府信息</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2.没有现成信息需要另行制作</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3.补正后申请内容仍不明确</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restart"/>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（五）不予处理</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1.信访举报投诉类申请</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2.重复申请</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3.要求提供公开出版物</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4.无正当理由大量反复申请</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1111"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5.要求行政机关确认或重新出具已获取信息</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gridSpan w:val="2"/>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（六）其他处理</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66" w:hRule="atLeast"/>
          <w:jc w:val="center"/>
        </w:trPr>
        <w:tc>
          <w:tcPr>
            <w:tcW w:w="0" w:type="auto"/>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p>
        </w:tc>
        <w:tc>
          <w:tcPr>
            <w:tcW w:w="0" w:type="auto"/>
            <w:gridSpan w:val="2"/>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（七）总计</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3</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r>
        <w:tblPrEx>
          <w:tblCellMar>
            <w:top w:w="0" w:type="dxa"/>
            <w:left w:w="0" w:type="dxa"/>
            <w:bottom w:w="0" w:type="dxa"/>
            <w:right w:w="0" w:type="dxa"/>
          </w:tblCellMar>
        </w:tblPrEx>
        <w:trPr>
          <w:trHeight w:val="698" w:hRule="atLeast"/>
          <w:jc w:val="center"/>
        </w:trPr>
        <w:tc>
          <w:tcPr>
            <w:tcW w:w="0" w:type="auto"/>
            <w:gridSpan w:val="3"/>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四、结转下年度继续办理</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96"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752"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c>
          <w:tcPr>
            <w:tcW w:w="0" w:type="auto"/>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16"/>
                <w:szCs w:val="16"/>
                <w:lang w:eastAsia="zh-CN"/>
              </w:rPr>
            </w:pPr>
            <w:r>
              <w:rPr>
                <w:rFonts w:hint="eastAsia" w:ascii="仿宋_GB2312" w:hAnsi="仿宋_GB2312" w:eastAsia="仿宋_GB2312"/>
                <w:w w:val="100"/>
                <w:sz w:val="16"/>
                <w:szCs w:val="16"/>
                <w:lang w:eastAsia="zh-CN"/>
              </w:rPr>
              <w:t>0</w:t>
            </w:r>
          </w:p>
        </w:tc>
      </w:tr>
    </w:tbl>
    <w:p>
      <w:pPr>
        <w:keepNext w:val="0"/>
        <w:keepLines w:val="0"/>
        <w:pageBreakBefore w:val="0"/>
        <w:widowControl/>
        <w:shd w:val="clear" w:color="000000" w:fill="FFFFFF"/>
        <w:kinsoku/>
        <w:wordWrap/>
        <w:overflowPunct/>
        <w:topLinePunct w:val="0"/>
        <w:autoSpaceDE/>
        <w:autoSpaceDN/>
        <w:bidi w:val="0"/>
        <w:adjustRightInd/>
        <w:snapToGrid/>
        <w:spacing w:before="0" w:after="0" w:line="420" w:lineRule="atLeast"/>
        <w:ind w:left="0" w:leftChars="0" w:firstLine="643" w:firstLineChars="200"/>
        <w:jc w:val="both"/>
        <w:textAlignment w:val="auto"/>
        <w:outlineLvl w:val="9"/>
        <w:rPr>
          <w:rFonts w:hint="eastAsia" w:ascii="仿宋_GB2312" w:hAnsi="仿宋_GB2312" w:eastAsia="仿宋_GB2312"/>
          <w:w w:val="100"/>
          <w:sz w:val="24"/>
          <w:lang w:eastAsia="zh-CN"/>
        </w:rPr>
      </w:pPr>
      <w:r>
        <w:rPr>
          <w:rFonts w:ascii="黑体" w:hAnsi="黑体" w:eastAsia="黑体"/>
          <w:b/>
          <w:w w:val="100"/>
          <w:sz w:val="32"/>
          <w:shd w:val="clear" w:color="000000" w:fill="FFFFFF"/>
        </w:rPr>
        <w:t>四、政府信息公开行政复议、行政诉讼情况</w:t>
      </w:r>
    </w:p>
    <w:tbl>
      <w:tblPr>
        <w:tblStyle w:val="3"/>
        <w:tblW w:w="0" w:type="auto"/>
        <w:jc w:val="center"/>
        <w:tblLayout w:type="fixed"/>
        <w:tblCellMar>
          <w:top w:w="0" w:type="dxa"/>
          <w:left w:w="0" w:type="dxa"/>
          <w:bottom w:w="0" w:type="dxa"/>
          <w:right w:w="0" w:type="dxa"/>
        </w:tblCellMar>
      </w:tblPr>
      <w:tblGrid>
        <w:gridCol w:w="439"/>
        <w:gridCol w:w="439"/>
        <w:gridCol w:w="439"/>
        <w:gridCol w:w="439"/>
        <w:gridCol w:w="500"/>
        <w:gridCol w:w="407"/>
        <w:gridCol w:w="439"/>
        <w:gridCol w:w="439"/>
        <w:gridCol w:w="439"/>
        <w:gridCol w:w="455"/>
        <w:gridCol w:w="439"/>
        <w:gridCol w:w="439"/>
        <w:gridCol w:w="439"/>
        <w:gridCol w:w="439"/>
        <w:gridCol w:w="468"/>
      </w:tblGrid>
      <w:tr>
        <w:tblPrEx>
          <w:tblCellMar>
            <w:top w:w="0" w:type="dxa"/>
            <w:left w:w="0" w:type="dxa"/>
            <w:bottom w:w="0" w:type="dxa"/>
            <w:right w:w="0" w:type="dxa"/>
          </w:tblCellMar>
        </w:tblPrEx>
        <w:trPr>
          <w:trHeight w:val="590" w:hRule="atLeast"/>
          <w:jc w:val="center"/>
        </w:trPr>
        <w:tc>
          <w:tcPr>
            <w:tcW w:w="2256" w:type="dxa"/>
            <w:gridSpan w:val="5"/>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行政复议</w:t>
            </w:r>
          </w:p>
        </w:tc>
        <w:tc>
          <w:tcPr>
            <w:tcW w:w="4403" w:type="dxa"/>
            <w:gridSpan w:val="10"/>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行政诉讼</w:t>
            </w:r>
          </w:p>
        </w:tc>
      </w:tr>
      <w:tr>
        <w:tblPrEx>
          <w:tblCellMar>
            <w:top w:w="0" w:type="dxa"/>
            <w:left w:w="0" w:type="dxa"/>
            <w:bottom w:w="0" w:type="dxa"/>
            <w:right w:w="0" w:type="dxa"/>
          </w:tblCellMar>
        </w:tblPrEx>
        <w:trPr>
          <w:trHeight w:val="590" w:hRule="atLeast"/>
          <w:jc w:val="center"/>
        </w:trPr>
        <w:tc>
          <w:tcPr>
            <w:tcW w:w="439" w:type="dxa"/>
            <w:vMerge w:val="restart"/>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结果维持</w:t>
            </w:r>
          </w:p>
        </w:tc>
        <w:tc>
          <w:tcPr>
            <w:tcW w:w="439" w:type="dxa"/>
            <w:vMerge w:val="restart"/>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结果纠正</w:t>
            </w:r>
          </w:p>
        </w:tc>
        <w:tc>
          <w:tcPr>
            <w:tcW w:w="439" w:type="dxa"/>
            <w:vMerge w:val="restart"/>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其他结果</w:t>
            </w:r>
          </w:p>
        </w:tc>
        <w:tc>
          <w:tcPr>
            <w:tcW w:w="439" w:type="dxa"/>
            <w:vMerge w:val="restart"/>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尚未审结</w:t>
            </w:r>
          </w:p>
        </w:tc>
        <w:tc>
          <w:tcPr>
            <w:tcW w:w="500" w:type="dxa"/>
            <w:vMerge w:val="restart"/>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总计</w:t>
            </w:r>
          </w:p>
        </w:tc>
        <w:tc>
          <w:tcPr>
            <w:tcW w:w="2179" w:type="dxa"/>
            <w:gridSpan w:val="5"/>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未经复议直接起诉</w:t>
            </w:r>
          </w:p>
        </w:tc>
        <w:tc>
          <w:tcPr>
            <w:tcW w:w="2224" w:type="dxa"/>
            <w:gridSpan w:val="5"/>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复议后起诉</w:t>
            </w:r>
          </w:p>
        </w:tc>
      </w:tr>
      <w:tr>
        <w:tblPrEx>
          <w:tblCellMar>
            <w:top w:w="0" w:type="dxa"/>
            <w:left w:w="0" w:type="dxa"/>
            <w:bottom w:w="0" w:type="dxa"/>
            <w:right w:w="0" w:type="dxa"/>
          </w:tblCellMar>
        </w:tblPrEx>
        <w:trPr>
          <w:trHeight w:val="2142" w:hRule="atLeast"/>
          <w:jc w:val="center"/>
        </w:trPr>
        <w:tc>
          <w:tcPr>
            <w:tcW w:w="439" w:type="dxa"/>
            <w:vMerge w:val="continue"/>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439" w:type="dxa"/>
            <w:vMerge w:val="continue"/>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439" w:type="dxa"/>
            <w:vMerge w:val="continue"/>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439" w:type="dxa"/>
            <w:vMerge w:val="continue"/>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500" w:type="dxa"/>
            <w:vMerge w:val="continue"/>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407"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ascii="宋体"/>
                <w:w w:val="100"/>
                <w:sz w:val="20"/>
              </w:rPr>
            </w:pPr>
            <w:r>
              <w:rPr>
                <w:rFonts w:hint="eastAsia" w:ascii="仿宋_GB2312" w:hAnsi="仿宋_GB2312" w:eastAsia="仿宋_GB2312"/>
                <w:w w:val="100"/>
                <w:sz w:val="19"/>
                <w:lang w:eastAsia="zh-CN"/>
              </w:rPr>
              <w:t>结果</w:t>
            </w:r>
          </w:p>
          <w:p>
            <w:pPr>
              <w:widowControl/>
              <w:autoSpaceDE/>
              <w:autoSpaceDN/>
              <w:snapToGrid/>
              <w:spacing w:before="0" w:after="180" w:line="420" w:lineRule="atLeast"/>
              <w:ind w:left="0" w:firstLine="0"/>
              <w:jc w:val="center"/>
              <w:rPr>
                <w:rFonts w:ascii="宋体"/>
                <w:w w:val="100"/>
                <w:sz w:val="20"/>
              </w:rPr>
            </w:pPr>
            <w:r>
              <w:rPr>
                <w:rFonts w:hint="eastAsia" w:ascii="仿宋_GB2312" w:hAnsi="仿宋_GB2312" w:eastAsia="仿宋_GB2312"/>
                <w:w w:val="100"/>
                <w:sz w:val="19"/>
                <w:lang w:eastAsia="zh-CN"/>
              </w:rPr>
              <w:t>维</w:t>
            </w:r>
          </w:p>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持</w:t>
            </w:r>
          </w:p>
        </w:tc>
        <w:tc>
          <w:tcPr>
            <w:tcW w:w="439"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结果纠正</w:t>
            </w:r>
          </w:p>
        </w:tc>
        <w:tc>
          <w:tcPr>
            <w:tcW w:w="439"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其他结果</w:t>
            </w:r>
          </w:p>
        </w:tc>
        <w:tc>
          <w:tcPr>
            <w:tcW w:w="439"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尚未审结</w:t>
            </w:r>
          </w:p>
        </w:tc>
        <w:tc>
          <w:tcPr>
            <w:tcW w:w="455"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总计</w:t>
            </w:r>
          </w:p>
        </w:tc>
        <w:tc>
          <w:tcPr>
            <w:tcW w:w="439"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结果维持</w:t>
            </w:r>
          </w:p>
        </w:tc>
        <w:tc>
          <w:tcPr>
            <w:tcW w:w="439"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结果纠正</w:t>
            </w:r>
          </w:p>
        </w:tc>
        <w:tc>
          <w:tcPr>
            <w:tcW w:w="439"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其他结果</w:t>
            </w:r>
          </w:p>
        </w:tc>
        <w:tc>
          <w:tcPr>
            <w:tcW w:w="439"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尚未审结</w:t>
            </w:r>
          </w:p>
        </w:tc>
        <w:tc>
          <w:tcPr>
            <w:tcW w:w="468" w:type="dxa"/>
            <w:tcBorders>
              <w:top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总计</w:t>
            </w:r>
          </w:p>
        </w:tc>
      </w:tr>
      <w:tr>
        <w:tblPrEx>
          <w:tblCellMar>
            <w:top w:w="0" w:type="dxa"/>
            <w:left w:w="0" w:type="dxa"/>
            <w:bottom w:w="0" w:type="dxa"/>
            <w:right w:w="0" w:type="dxa"/>
          </w:tblCellMar>
        </w:tblPrEx>
        <w:trPr>
          <w:trHeight w:val="381" w:hRule="atLeast"/>
          <w:jc w:val="center"/>
        </w:trPr>
        <w:tc>
          <w:tcPr>
            <w:tcW w:w="439" w:type="dxa"/>
            <w:tcBorders>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39"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39"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39"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500"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07"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39"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39"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39"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55"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39"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39"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39"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39"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468" w:type="dxa"/>
            <w:tcBorders>
              <w:bottom w:val="single" w:color="000000" w:sz="6" w:space="0"/>
              <w:right w:val="single" w:color="000000" w:sz="6" w:space="0"/>
            </w:tcBorders>
            <w:noWrap w:val="0"/>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r>
    </w:tbl>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黑体" w:hAnsi="黑体" w:eastAsia="黑体"/>
          <w:w w:val="100"/>
          <w:sz w:val="32"/>
          <w:lang w:eastAsia="zh-CN"/>
        </w:rPr>
      </w:pPr>
      <w:r>
        <w:rPr>
          <w:rFonts w:ascii="黑体" w:hAnsi="黑体" w:eastAsia="黑体"/>
          <w:b/>
          <w:w w:val="100"/>
          <w:sz w:val="32"/>
        </w:rPr>
        <w:t>五、存在的主要问题及改进情况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通过几年来的实践，市工信局信息公开工作水平得到了一定的提升，但也存在不足，主要表现在：部分科室、企业对信息公开的重要性和必要性认识不够，部分应主动公开的信息项目还有待完善，部门网站信息维护工作水平还有待提高。2020年，我们将继续强化措施，不断开拓创新，做好政府信息公开工作。</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楷体_GB2312" w:hAnsi="楷体_GB2312" w:eastAsia="楷体_GB2312"/>
          <w:b/>
          <w:w w:val="100"/>
          <w:sz w:val="32"/>
          <w:lang w:eastAsia="zh-CN"/>
        </w:rPr>
        <w:t>一是进一步提高思想认识。</w:t>
      </w:r>
      <w:r>
        <w:rPr>
          <w:rFonts w:hint="eastAsia" w:ascii="仿宋_GB2312" w:hAnsi="仿宋_GB2312" w:eastAsia="仿宋_GB2312"/>
          <w:b/>
          <w:w w:val="100"/>
          <w:sz w:val="32"/>
          <w:lang w:eastAsia="zh-CN"/>
        </w:rPr>
        <w:t>加强对《政府信息公开条例》和省、市有关文件的学习，增强工作的主动性和责任意识，准确把握政策要求，做到该公开的及时公开，不该公开的要做好保密工作。</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楷体_GB2312" w:hAnsi="楷体_GB2312" w:eastAsia="楷体_GB2312"/>
          <w:b/>
          <w:w w:val="100"/>
          <w:sz w:val="32"/>
          <w:lang w:eastAsia="zh-CN"/>
        </w:rPr>
        <w:t>二是强化责任落实。</w:t>
      </w:r>
      <w:r>
        <w:rPr>
          <w:rFonts w:hint="eastAsia" w:ascii="仿宋_GB2312" w:hAnsi="仿宋_GB2312" w:eastAsia="仿宋_GB2312"/>
          <w:b/>
          <w:w w:val="100"/>
          <w:sz w:val="32"/>
          <w:lang w:eastAsia="zh-CN"/>
        </w:rPr>
        <w:t>及时有效地收集、报送信息，充实信息来源，丰富信息内容，确保应公开信息全部及时、准确地得以公开，不断增强信息量并提高时效性，增强公开效果。</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楷体_GB2312" w:hAnsi="楷体_GB2312" w:eastAsia="楷体_GB2312"/>
          <w:b/>
          <w:w w:val="100"/>
          <w:sz w:val="32"/>
          <w:lang w:eastAsia="zh-CN"/>
        </w:rPr>
        <w:t>三是强化信息内容。</w:t>
      </w:r>
      <w:r>
        <w:rPr>
          <w:rFonts w:hint="eastAsia" w:ascii="仿宋_GB2312" w:hAnsi="仿宋_GB2312" w:eastAsia="仿宋_GB2312"/>
          <w:b/>
          <w:w w:val="100"/>
          <w:sz w:val="32"/>
          <w:lang w:eastAsia="zh-CN"/>
        </w:rPr>
        <w:t>加大公开力度，不断拓展和丰富政府信息公开内容，进一步完善相关制度和程序，规范政府信息公开行为，不断提高政府信息公开工作水平。</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楷体_GB2312" w:hAnsi="楷体_GB2312" w:eastAsia="楷体_GB2312"/>
          <w:b/>
          <w:w w:val="100"/>
          <w:sz w:val="32"/>
          <w:lang w:eastAsia="zh-CN"/>
        </w:rPr>
        <w:t>四是强化公开平台。</w:t>
      </w:r>
      <w:r>
        <w:rPr>
          <w:rFonts w:hint="eastAsia" w:ascii="仿宋_GB2312" w:hAnsi="仿宋_GB2312" w:eastAsia="仿宋_GB2312"/>
          <w:b/>
          <w:w w:val="100"/>
          <w:sz w:val="32"/>
          <w:lang w:eastAsia="zh-CN"/>
        </w:rPr>
        <w:t>完善曲阜网、微信公众号建设管理，宣传解读相关政策措施，主动回应重要舆情和公众关注的热点、难点问题。同时，通过网民留言等方式，接受公众建言献策和情况反映，征集公众意见建议。</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黑体" w:hAnsi="黑体" w:eastAsia="黑体"/>
          <w:b/>
          <w:w w:val="100"/>
          <w:sz w:val="32"/>
          <w:lang w:eastAsia="zh-CN"/>
        </w:rPr>
      </w:pPr>
      <w:r>
        <w:rPr>
          <w:rFonts w:ascii="黑体" w:hAnsi="黑体" w:eastAsia="黑体"/>
          <w:b/>
          <w:w w:val="100"/>
          <w:sz w:val="32"/>
        </w:rPr>
        <w:t>六、其他需要报告的事项</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无</w:t>
      </w:r>
    </w:p>
    <w:p>
      <w:pPr>
        <w:autoSpaceDE/>
        <w:autoSpaceDN/>
        <w:snapToGrid/>
        <w:spacing w:before="0" w:after="0" w:line="240" w:lineRule="auto"/>
        <w:ind w:left="0" w:firstLine="0"/>
        <w:jc w:val="both"/>
        <w:rPr>
          <w:rFonts w:ascii="Calibri" w:hAnsi="Calibri" w:eastAsia="宋体"/>
          <w:w w:val="100"/>
          <w:sz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D2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pacing w:before="0" w:after="0" w:line="240" w:lineRule="auto"/>
      <w:ind w:left="0" w:firstLine="3584"/>
      <w:jc w:val="both"/>
    </w:pPr>
    <w:rPr>
      <w:rFonts w:ascii="Times New Roman" w:hAnsi="Times New Roman" w:eastAsia="宋体" w:cs="Times New Roma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next w:val="1"/>
    <w:qFormat/>
    <w:uiPriority w:val="0"/>
    <w:pPr>
      <w:widowControl w:val="0"/>
      <w:autoSpaceDE/>
      <w:autoSpaceDN/>
      <w:spacing w:before="0" w:after="0" w:line="420" w:lineRule="atLeast"/>
      <w:ind w:left="0" w:firstLine="358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2020-07-16T22:06:30Z</dcterms:created>
  <dc:creator>Administrator</dc:creator>
  <cp:lastModifiedBy>Administrator</cp:lastModifiedBy>
  <dcterms:modified xsi:type="dcterms:W3CDTF">2020-07-16T22:09:33Z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