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5444E">
      <w:pPr>
        <w:spacing w:line="540" w:lineRule="exact"/>
        <w:rPr>
          <w:rFonts w:hint="eastAsia" w:eastAsia="方正小标宋简体"/>
          <w:b/>
          <w:color w:val="000000"/>
          <w:sz w:val="32"/>
          <w:szCs w:val="32"/>
          <w:lang w:eastAsia="zh-CN"/>
        </w:rPr>
      </w:pPr>
      <w:bookmarkStart w:id="0" w:name="_GoBack"/>
      <w:bookmarkEnd w:id="0"/>
      <w:r>
        <w:rPr>
          <w:rFonts w:hint="eastAsia" w:eastAsia="方正小标宋简体"/>
          <w:b/>
          <w:sz w:val="32"/>
          <w:szCs w:val="32"/>
        </w:rPr>
        <w:t>QFDR-202</w:t>
      </w:r>
      <w:r>
        <w:rPr>
          <w:rFonts w:hint="eastAsia" w:eastAsia="方正小标宋简体"/>
          <w:b/>
          <w:sz w:val="32"/>
          <w:szCs w:val="32"/>
          <w:lang w:val="en-US" w:eastAsia="zh-CN"/>
        </w:rPr>
        <w:t>2</w:t>
      </w:r>
      <w:r>
        <w:rPr>
          <w:rFonts w:hint="eastAsia" w:eastAsia="方正小标宋简体"/>
          <w:b/>
          <w:sz w:val="32"/>
          <w:szCs w:val="32"/>
        </w:rPr>
        <w:t>-001000</w:t>
      </w:r>
      <w:r>
        <w:rPr>
          <w:rFonts w:hint="eastAsia" w:eastAsia="方正小标宋简体"/>
          <w:b/>
          <w:sz w:val="32"/>
          <w:szCs w:val="32"/>
          <w:lang w:val="en-US" w:eastAsia="zh-CN"/>
        </w:rPr>
        <w:t>2</w:t>
      </w:r>
    </w:p>
    <w:p w14:paraId="76F17BD1">
      <w:pPr>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eastAsia="方正仿宋简体"/>
          <w:b/>
          <w:sz w:val="32"/>
          <w:szCs w:val="32"/>
        </w:rPr>
      </w:pPr>
    </w:p>
    <w:p w14:paraId="07133630">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eastAsia="方正仿宋简体"/>
          <w:b/>
          <w:sz w:val="32"/>
          <w:szCs w:val="32"/>
        </w:rPr>
      </w:pPr>
    </w:p>
    <w:p w14:paraId="40130B8D">
      <w:pPr>
        <w:pStyle w:val="2"/>
        <w:keepNext w:val="0"/>
        <w:keepLines w:val="0"/>
        <w:pageBreakBefore w:val="0"/>
        <w:widowControl w:val="0"/>
        <w:kinsoku/>
        <w:wordWrap/>
        <w:overflowPunct/>
        <w:topLinePunct w:val="0"/>
        <w:autoSpaceDE/>
        <w:autoSpaceDN/>
        <w:bidi w:val="0"/>
        <w:adjustRightInd/>
        <w:snapToGrid/>
        <w:spacing w:line="560" w:lineRule="exact"/>
        <w:rPr>
          <w:rFonts w:eastAsia="方正仿宋简体"/>
          <w:b/>
          <w:sz w:val="32"/>
          <w:szCs w:val="32"/>
        </w:rPr>
      </w:pPr>
    </w:p>
    <w:p w14:paraId="7856E867">
      <w:pPr>
        <w:pStyle w:val="2"/>
        <w:keepNext w:val="0"/>
        <w:keepLines w:val="0"/>
        <w:pageBreakBefore w:val="0"/>
        <w:widowControl w:val="0"/>
        <w:kinsoku/>
        <w:wordWrap/>
        <w:overflowPunct/>
        <w:topLinePunct w:val="0"/>
        <w:autoSpaceDE/>
        <w:autoSpaceDN/>
        <w:bidi w:val="0"/>
        <w:adjustRightInd/>
        <w:snapToGrid/>
        <w:spacing w:line="560" w:lineRule="exact"/>
        <w:rPr>
          <w:rFonts w:eastAsia="方正仿宋简体"/>
          <w:b/>
          <w:sz w:val="32"/>
          <w:szCs w:val="32"/>
        </w:rPr>
      </w:pPr>
    </w:p>
    <w:p w14:paraId="4D7ACC03">
      <w:pPr>
        <w:pStyle w:val="2"/>
        <w:keepNext w:val="0"/>
        <w:keepLines w:val="0"/>
        <w:pageBreakBefore w:val="0"/>
        <w:widowControl w:val="0"/>
        <w:kinsoku/>
        <w:wordWrap/>
        <w:overflowPunct/>
        <w:topLinePunct w:val="0"/>
        <w:autoSpaceDE/>
        <w:autoSpaceDN/>
        <w:bidi w:val="0"/>
        <w:adjustRightInd/>
        <w:snapToGrid/>
        <w:spacing w:line="560" w:lineRule="exact"/>
        <w:rPr>
          <w:rFonts w:eastAsia="方正仿宋简体"/>
          <w:b/>
          <w:sz w:val="32"/>
          <w:szCs w:val="32"/>
        </w:rPr>
      </w:pPr>
    </w:p>
    <w:p w14:paraId="1672EE0D">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eastAsia="方正仿宋简体"/>
          <w:b/>
          <w:sz w:val="32"/>
          <w:szCs w:val="32"/>
        </w:rPr>
      </w:pPr>
    </w:p>
    <w:p w14:paraId="4BC44BC9">
      <w:pPr>
        <w:spacing w:line="580" w:lineRule="exact"/>
        <w:jc w:val="center"/>
        <w:textAlignment w:val="baseline"/>
        <w:rPr>
          <w:rFonts w:eastAsia="方正仿宋简体"/>
          <w:b/>
          <w:sz w:val="32"/>
          <w:szCs w:val="32"/>
        </w:rPr>
      </w:pPr>
      <w:r>
        <w:rPr>
          <w:rFonts w:eastAsia="方正仿宋简体"/>
          <w:b/>
          <w:sz w:val="32"/>
          <w:szCs w:val="32"/>
        </w:rPr>
        <w:t>曲政发〔20</w:t>
      </w:r>
      <w:r>
        <w:rPr>
          <w:rFonts w:hint="eastAsia" w:eastAsia="方正仿宋简体"/>
          <w:b/>
          <w:sz w:val="32"/>
          <w:szCs w:val="32"/>
        </w:rPr>
        <w:t>2</w:t>
      </w:r>
      <w:r>
        <w:rPr>
          <w:rFonts w:hint="eastAsia"/>
          <w:b/>
          <w:sz w:val="32"/>
          <w:szCs w:val="32"/>
          <w:lang w:val="en-US" w:eastAsia="zh-CN"/>
        </w:rPr>
        <w:t>2</w:t>
      </w:r>
      <w:r>
        <w:rPr>
          <w:rFonts w:eastAsia="方正仿宋简体"/>
          <w:b/>
          <w:sz w:val="32"/>
          <w:szCs w:val="32"/>
        </w:rPr>
        <w:t>〕</w:t>
      </w:r>
      <w:r>
        <w:rPr>
          <w:rFonts w:hint="eastAsia"/>
          <w:b/>
          <w:sz w:val="32"/>
          <w:szCs w:val="32"/>
          <w:lang w:val="en-US" w:eastAsia="zh-CN"/>
        </w:rPr>
        <w:t>8</w:t>
      </w:r>
      <w:r>
        <w:rPr>
          <w:rFonts w:eastAsia="方正仿宋简体"/>
          <w:b/>
          <w:sz w:val="32"/>
          <w:szCs w:val="32"/>
        </w:rPr>
        <w:t>号</w:t>
      </w:r>
    </w:p>
    <w:p w14:paraId="4A40C3D2">
      <w:pPr>
        <w:adjustRightInd w:val="0"/>
        <w:spacing w:line="900" w:lineRule="exact"/>
        <w:ind w:left="0"/>
        <w:jc w:val="center"/>
        <w:textAlignment w:val="baseline"/>
        <w:rPr>
          <w:rFonts w:eastAsia="方正小标宋简体"/>
          <w:b/>
          <w:sz w:val="44"/>
          <w:szCs w:val="44"/>
        </w:rPr>
      </w:pPr>
    </w:p>
    <w:p w14:paraId="038C77BC">
      <w:pPr>
        <w:spacing w:line="580" w:lineRule="exact"/>
        <w:jc w:val="center"/>
        <w:rPr>
          <w:rFonts w:eastAsia="方正小标宋简体"/>
          <w:b/>
          <w:bCs/>
          <w:sz w:val="44"/>
          <w:szCs w:val="44"/>
        </w:rPr>
      </w:pPr>
      <w:r>
        <w:rPr>
          <w:rFonts w:eastAsia="方正小标宋简体"/>
          <w:b/>
          <w:bCs/>
          <w:sz w:val="44"/>
          <w:szCs w:val="44"/>
        </w:rPr>
        <w:t>曲阜市人民政府</w:t>
      </w:r>
    </w:p>
    <w:p w14:paraId="2A8983EB">
      <w:pPr>
        <w:spacing w:line="580" w:lineRule="exact"/>
        <w:jc w:val="center"/>
        <w:rPr>
          <w:rFonts w:hint="eastAsia" w:eastAsia="方正小标宋简体"/>
          <w:b/>
          <w:bCs/>
          <w:sz w:val="44"/>
          <w:szCs w:val="44"/>
          <w:lang w:val="en-US" w:eastAsia="zh-CN"/>
        </w:rPr>
      </w:pPr>
      <w:r>
        <w:rPr>
          <w:rFonts w:eastAsia="方正小标宋简体"/>
          <w:b/>
          <w:bCs/>
          <w:sz w:val="44"/>
          <w:szCs w:val="44"/>
        </w:rPr>
        <w:t>关于印发</w:t>
      </w:r>
      <w:r>
        <w:rPr>
          <w:rFonts w:hint="eastAsia" w:eastAsia="方正小标宋简体"/>
          <w:b/>
          <w:bCs/>
          <w:sz w:val="44"/>
          <w:szCs w:val="44"/>
          <w:lang w:val="en-US" w:eastAsia="zh-CN"/>
        </w:rPr>
        <w:t>曲阜市公共投资建设项目审计</w:t>
      </w:r>
    </w:p>
    <w:p w14:paraId="351151A9">
      <w:pPr>
        <w:spacing w:line="580" w:lineRule="exact"/>
        <w:jc w:val="center"/>
        <w:rPr>
          <w:rFonts w:eastAsia="方正小标宋简体"/>
          <w:b/>
          <w:bCs/>
          <w:sz w:val="44"/>
          <w:szCs w:val="44"/>
        </w:rPr>
      </w:pPr>
      <w:r>
        <w:rPr>
          <w:rFonts w:hint="eastAsia" w:eastAsia="方正小标宋简体"/>
          <w:b/>
          <w:bCs/>
          <w:sz w:val="44"/>
          <w:szCs w:val="44"/>
          <w:lang w:val="en-US" w:eastAsia="zh-CN"/>
        </w:rPr>
        <w:t>监督管理办法</w:t>
      </w:r>
      <w:r>
        <w:rPr>
          <w:rFonts w:eastAsia="方正小标宋简体"/>
          <w:b/>
          <w:bCs/>
          <w:sz w:val="44"/>
          <w:szCs w:val="44"/>
        </w:rPr>
        <w:t>的通知</w:t>
      </w:r>
    </w:p>
    <w:p w14:paraId="3F96D0F5">
      <w:pPr>
        <w:spacing w:line="580" w:lineRule="exact"/>
        <w:jc w:val="center"/>
        <w:rPr>
          <w:rFonts w:eastAsia="方正小标宋简体"/>
          <w:b/>
          <w:bCs/>
          <w:sz w:val="32"/>
          <w:szCs w:val="32"/>
        </w:rPr>
      </w:pPr>
    </w:p>
    <w:p w14:paraId="31C59C33">
      <w:pPr>
        <w:spacing w:line="580" w:lineRule="exact"/>
        <w:rPr>
          <w:rFonts w:eastAsia="方正小标宋简体"/>
          <w:b/>
          <w:bCs/>
          <w:color w:val="000000"/>
          <w:sz w:val="32"/>
          <w:szCs w:val="32"/>
        </w:rPr>
      </w:pPr>
      <w:r>
        <w:rPr>
          <w:rFonts w:eastAsia="方正仿宋简体"/>
          <w:b/>
          <w:bCs/>
          <w:color w:val="000000"/>
          <w:sz w:val="32"/>
          <w:szCs w:val="32"/>
        </w:rPr>
        <w:t>各镇人民政府、街道办事处，市政府各部门</w:t>
      </w:r>
      <w:r>
        <w:rPr>
          <w:rFonts w:hint="eastAsia" w:eastAsia="方正仿宋简体"/>
          <w:b/>
          <w:bCs/>
          <w:color w:val="000000"/>
          <w:sz w:val="32"/>
          <w:szCs w:val="32"/>
          <w:lang w:eastAsia="zh-CN"/>
        </w:rPr>
        <w:t>，各有关单位</w:t>
      </w:r>
      <w:r>
        <w:rPr>
          <w:rFonts w:eastAsia="方正小标宋简体"/>
          <w:b/>
          <w:bCs/>
          <w:color w:val="000000"/>
          <w:sz w:val="32"/>
          <w:szCs w:val="32"/>
        </w:rPr>
        <w:t>：</w:t>
      </w:r>
    </w:p>
    <w:p w14:paraId="66431929">
      <w:pPr>
        <w:spacing w:line="580" w:lineRule="exact"/>
        <w:ind w:firstLine="642"/>
        <w:rPr>
          <w:rFonts w:eastAsia="方正仿宋简体"/>
          <w:b/>
          <w:bCs/>
          <w:sz w:val="32"/>
          <w:szCs w:val="32"/>
        </w:rPr>
      </w:pPr>
      <w:r>
        <w:rPr>
          <w:rFonts w:eastAsia="方正仿宋简体"/>
          <w:b/>
          <w:bCs/>
          <w:sz w:val="32"/>
          <w:szCs w:val="32"/>
        </w:rPr>
        <w:t>现将《</w:t>
      </w:r>
      <w:r>
        <w:rPr>
          <w:rFonts w:hint="eastAsia" w:eastAsia="方正仿宋简体"/>
          <w:b/>
          <w:bCs/>
          <w:sz w:val="32"/>
          <w:szCs w:val="32"/>
          <w:lang w:eastAsia="zh-CN"/>
        </w:rPr>
        <w:t>曲阜市公共投资建设项目审计监督管理办法</w:t>
      </w:r>
      <w:r>
        <w:rPr>
          <w:rFonts w:eastAsia="方正仿宋简体"/>
          <w:b/>
          <w:sz w:val="32"/>
          <w:szCs w:val="32"/>
        </w:rPr>
        <w:t>》印发给你们，请认真</w:t>
      </w:r>
      <w:r>
        <w:rPr>
          <w:rFonts w:hint="eastAsia" w:eastAsia="方正仿宋简体"/>
          <w:b/>
          <w:sz w:val="32"/>
          <w:szCs w:val="32"/>
          <w:lang w:eastAsia="zh-CN"/>
        </w:rPr>
        <w:t>贯彻</w:t>
      </w:r>
      <w:r>
        <w:rPr>
          <w:rFonts w:eastAsia="方正仿宋简体"/>
          <w:b/>
          <w:sz w:val="32"/>
          <w:szCs w:val="32"/>
        </w:rPr>
        <w:t>执行</w:t>
      </w:r>
      <w:r>
        <w:rPr>
          <w:rFonts w:eastAsia="方正仿宋简体"/>
          <w:b/>
          <w:bCs/>
          <w:sz w:val="32"/>
          <w:szCs w:val="32"/>
        </w:rPr>
        <w:t>。</w:t>
      </w:r>
    </w:p>
    <w:p w14:paraId="79D90ED5">
      <w:pPr>
        <w:keepNext w:val="0"/>
        <w:keepLines w:val="0"/>
        <w:pageBreakBefore w:val="0"/>
        <w:widowControl w:val="0"/>
        <w:kinsoku/>
        <w:wordWrap/>
        <w:overflowPunct/>
        <w:topLinePunct w:val="0"/>
        <w:autoSpaceDE/>
        <w:autoSpaceDN/>
        <w:bidi w:val="0"/>
        <w:adjustRightInd/>
        <w:snapToGrid/>
        <w:spacing w:line="700" w:lineRule="exact"/>
        <w:ind w:firstLine="642"/>
        <w:textAlignment w:val="auto"/>
        <w:rPr>
          <w:rFonts w:eastAsia="方正仿宋简体"/>
          <w:b/>
          <w:bCs/>
          <w:sz w:val="32"/>
          <w:szCs w:val="32"/>
        </w:rPr>
      </w:pPr>
    </w:p>
    <w:p w14:paraId="1356D8A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黑体" w:eastAsia="方正小标宋简体"/>
          <w:sz w:val="44"/>
          <w:szCs w:val="44"/>
        </w:rPr>
      </w:pPr>
    </w:p>
    <w:p w14:paraId="6908E939">
      <w:pPr>
        <w:spacing w:line="580" w:lineRule="exact"/>
        <w:ind w:firstLine="5140" w:firstLineChars="1600"/>
        <w:rPr>
          <w:rFonts w:eastAsia="方正仿宋简体"/>
          <w:b/>
          <w:bCs/>
          <w:sz w:val="32"/>
          <w:szCs w:val="32"/>
        </w:rPr>
      </w:pPr>
      <w:r>
        <w:rPr>
          <w:rFonts w:eastAsia="方正仿宋简体"/>
          <w:b/>
          <w:bCs/>
          <w:sz w:val="32"/>
          <w:szCs w:val="32"/>
        </w:rPr>
        <w:t>曲阜市人民政府</w:t>
      </w:r>
    </w:p>
    <w:p w14:paraId="75DA6BA4">
      <w:pPr>
        <w:spacing w:line="580" w:lineRule="exact"/>
        <w:rPr>
          <w:rFonts w:eastAsia="方正仿宋简体"/>
          <w:b/>
          <w:bCs/>
          <w:sz w:val="32"/>
          <w:szCs w:val="32"/>
        </w:rPr>
      </w:pPr>
      <w:r>
        <w:rPr>
          <w:rFonts w:hint="eastAsia" w:eastAsia="方正仿宋简体"/>
          <w:b/>
          <w:sz w:val="32"/>
          <w:lang w:val="en-US" w:eastAsia="zh-CN"/>
        </w:rPr>
        <w:t xml:space="preserve">                                    </w:t>
      </w:r>
      <w:r>
        <w:rPr>
          <w:rFonts w:eastAsia="方正仿宋简体"/>
          <w:b/>
          <w:bCs/>
          <w:sz w:val="32"/>
          <w:szCs w:val="32"/>
        </w:rPr>
        <w:t>20</w:t>
      </w:r>
      <w:r>
        <w:rPr>
          <w:rFonts w:hint="eastAsia" w:eastAsia="方正仿宋简体"/>
          <w:b/>
          <w:bCs/>
          <w:sz w:val="32"/>
          <w:szCs w:val="32"/>
        </w:rPr>
        <w:t>2</w:t>
      </w:r>
      <w:r>
        <w:rPr>
          <w:rFonts w:hint="eastAsia"/>
          <w:b/>
          <w:bCs/>
          <w:sz w:val="32"/>
          <w:szCs w:val="32"/>
          <w:lang w:val="en-US" w:eastAsia="zh-CN"/>
        </w:rPr>
        <w:t>2</w:t>
      </w:r>
      <w:r>
        <w:rPr>
          <w:rFonts w:eastAsia="方正仿宋简体"/>
          <w:b/>
          <w:bCs/>
          <w:sz w:val="32"/>
          <w:szCs w:val="32"/>
        </w:rPr>
        <w:t>年</w:t>
      </w:r>
      <w:r>
        <w:rPr>
          <w:rFonts w:hint="eastAsia"/>
          <w:b/>
          <w:bCs/>
          <w:sz w:val="32"/>
          <w:szCs w:val="32"/>
          <w:lang w:val="en-US" w:eastAsia="zh-CN"/>
        </w:rPr>
        <w:t>6</w:t>
      </w:r>
      <w:r>
        <w:rPr>
          <w:rFonts w:eastAsia="方正仿宋简体"/>
          <w:b/>
          <w:bCs/>
          <w:sz w:val="32"/>
          <w:szCs w:val="32"/>
        </w:rPr>
        <w:t>月</w:t>
      </w:r>
      <w:r>
        <w:rPr>
          <w:rFonts w:hint="eastAsia"/>
          <w:b/>
          <w:bCs/>
          <w:sz w:val="32"/>
          <w:szCs w:val="32"/>
          <w:lang w:val="en-US" w:eastAsia="zh-CN"/>
        </w:rPr>
        <w:t>28</w:t>
      </w:r>
      <w:r>
        <w:rPr>
          <w:rFonts w:eastAsia="方正仿宋简体"/>
          <w:b/>
          <w:bCs/>
          <w:sz w:val="32"/>
          <w:szCs w:val="32"/>
        </w:rPr>
        <w:t>日</w:t>
      </w:r>
    </w:p>
    <w:p w14:paraId="54BADA55">
      <w:pPr>
        <w:spacing w:line="600" w:lineRule="exact"/>
        <w:textAlignment w:val="baseline"/>
        <w:rPr>
          <w:rFonts w:eastAsia="仿宋"/>
          <w:b/>
          <w:color w:val="000000"/>
          <w:sz w:val="32"/>
        </w:rPr>
      </w:pPr>
      <w:r>
        <w:rPr>
          <w:rFonts w:hint="eastAsia" w:eastAsia="方正仿宋简体"/>
          <w:b/>
          <w:sz w:val="32"/>
          <w:lang w:val="en-US" w:eastAsia="zh-CN"/>
        </w:rPr>
        <w:t xml:space="preserve">    </w:t>
      </w:r>
      <w:r>
        <w:rPr>
          <w:rFonts w:hint="eastAsia" w:eastAsia="方正仿宋简体"/>
          <w:b/>
          <w:bCs/>
          <w:sz w:val="32"/>
          <w:szCs w:val="32"/>
          <w:lang w:val="en-US" w:eastAsia="zh-CN"/>
        </w:rPr>
        <w:t>（此件公开发布）</w:t>
      </w:r>
    </w:p>
    <w:p w14:paraId="6DC28B0E">
      <w:pPr>
        <w:spacing w:line="6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br w:type="page"/>
      </w:r>
    </w:p>
    <w:p w14:paraId="0163F466">
      <w:pPr>
        <w:spacing w:line="660" w:lineRule="exact"/>
        <w:jc w:val="center"/>
        <w:rPr>
          <w:rFonts w:ascii="方正小标宋简体" w:hAnsi="黑体" w:eastAsia="方正小标宋简体"/>
          <w:b/>
          <w:bCs/>
          <w:sz w:val="44"/>
          <w:szCs w:val="44"/>
        </w:rPr>
      </w:pPr>
      <w:r>
        <w:rPr>
          <w:rFonts w:hint="eastAsia" w:ascii="方正小标宋简体" w:hAnsi="黑体" w:eastAsia="方正小标宋简体"/>
          <w:b/>
          <w:bCs/>
          <w:sz w:val="44"/>
          <w:szCs w:val="44"/>
        </w:rPr>
        <w:t>曲阜市公共投资建设项目审计监督</w:t>
      </w:r>
    </w:p>
    <w:p w14:paraId="63FE3D95">
      <w:pPr>
        <w:spacing w:line="660" w:lineRule="exact"/>
        <w:jc w:val="center"/>
        <w:rPr>
          <w:rFonts w:ascii="方正小标宋简体" w:hAnsi="黑体" w:eastAsia="方正小标宋简体"/>
          <w:b/>
          <w:bCs/>
          <w:sz w:val="44"/>
          <w:szCs w:val="44"/>
        </w:rPr>
      </w:pPr>
      <w:r>
        <w:rPr>
          <w:rFonts w:hint="eastAsia" w:ascii="方正小标宋简体" w:hAnsi="黑体" w:eastAsia="方正小标宋简体"/>
          <w:b/>
          <w:bCs/>
          <w:sz w:val="44"/>
          <w:szCs w:val="44"/>
        </w:rPr>
        <w:t>管</w:t>
      </w:r>
      <w:r>
        <w:rPr>
          <w:rFonts w:ascii="方正小标宋简体" w:hAnsi="黑体" w:eastAsia="方正小标宋简体"/>
          <w:b/>
          <w:bCs/>
          <w:sz w:val="44"/>
          <w:szCs w:val="44"/>
        </w:rPr>
        <w:t xml:space="preserve"> </w:t>
      </w:r>
      <w:r>
        <w:rPr>
          <w:rFonts w:hint="eastAsia" w:ascii="方正小标宋简体" w:hAnsi="黑体" w:eastAsia="方正小标宋简体"/>
          <w:b/>
          <w:bCs/>
          <w:sz w:val="44"/>
          <w:szCs w:val="44"/>
        </w:rPr>
        <w:t>理</w:t>
      </w:r>
      <w:r>
        <w:rPr>
          <w:rFonts w:ascii="方正小标宋简体" w:hAnsi="黑体" w:eastAsia="方正小标宋简体"/>
          <w:b/>
          <w:bCs/>
          <w:sz w:val="44"/>
          <w:szCs w:val="44"/>
        </w:rPr>
        <w:t xml:space="preserve"> </w:t>
      </w:r>
      <w:r>
        <w:rPr>
          <w:rFonts w:hint="eastAsia" w:ascii="方正小标宋简体" w:hAnsi="黑体" w:eastAsia="方正小标宋简体"/>
          <w:b/>
          <w:bCs/>
          <w:sz w:val="44"/>
          <w:szCs w:val="44"/>
        </w:rPr>
        <w:t>办</w:t>
      </w:r>
      <w:r>
        <w:rPr>
          <w:rFonts w:ascii="方正小标宋简体" w:hAnsi="黑体" w:eastAsia="方正小标宋简体"/>
          <w:b/>
          <w:bCs/>
          <w:sz w:val="44"/>
          <w:szCs w:val="44"/>
        </w:rPr>
        <w:t xml:space="preserve"> </w:t>
      </w:r>
      <w:r>
        <w:rPr>
          <w:rFonts w:hint="eastAsia" w:ascii="方正小标宋简体" w:hAnsi="黑体" w:eastAsia="方正小标宋简体"/>
          <w:b/>
          <w:bCs/>
          <w:sz w:val="44"/>
          <w:szCs w:val="44"/>
        </w:rPr>
        <w:t>法（试行）</w:t>
      </w:r>
    </w:p>
    <w:p w14:paraId="130ED81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eastAsia="方正小标宋简体"/>
        </w:rPr>
      </w:pPr>
    </w:p>
    <w:p w14:paraId="77E3B3A1">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hint="eastAsia" w:ascii="方正黑体简体" w:hAnsi="方正黑体简体" w:eastAsia="方正黑体简体" w:cs="方正黑体简体"/>
          <w:b/>
          <w:bCs/>
        </w:rPr>
      </w:pPr>
      <w:r>
        <w:rPr>
          <w:rFonts w:hint="eastAsia" w:ascii="方正黑体简体" w:hAnsi="方正黑体简体" w:eastAsia="方正黑体简体" w:cs="方正黑体简体"/>
          <w:b/>
          <w:bCs/>
        </w:rPr>
        <w:t>第一章  总    则</w:t>
      </w:r>
    </w:p>
    <w:p w14:paraId="6A873531">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eastAsia="方正仿宋简体"/>
          <w:b/>
          <w:bCs/>
          <w:sz w:val="32"/>
          <w:szCs w:val="32"/>
        </w:rPr>
      </w:pPr>
      <w:r>
        <w:rPr>
          <w:rFonts w:hint="eastAsia" w:ascii="方正黑体简体" w:hAnsi="方正黑体简体" w:eastAsia="方正黑体简体" w:cs="方正黑体简体"/>
          <w:b/>
          <w:bCs/>
        </w:rPr>
        <w:t>第一条</w:t>
      </w:r>
      <w:r>
        <w:rPr>
          <w:rFonts w:ascii="仿宋_GB2312" w:eastAsia="仿宋_GB2312"/>
          <w:b/>
        </w:rPr>
        <w:t xml:space="preserve"> </w:t>
      </w:r>
      <w:r>
        <w:rPr>
          <w:rFonts w:ascii="仿宋_GB2312" w:eastAsia="仿宋_GB2312"/>
        </w:rPr>
        <w:t xml:space="preserve"> </w:t>
      </w:r>
      <w:r>
        <w:rPr>
          <w:rFonts w:hint="eastAsia" w:eastAsia="方正仿宋简体"/>
          <w:b/>
          <w:bCs/>
          <w:sz w:val="32"/>
          <w:szCs w:val="32"/>
        </w:rPr>
        <w:t>为加强对公共投资建设项目的审计监督，规范投资行为，提高投资效益，根据《中华人民共和国审计法》《中华人民共和国审计法实施条例》《审计署关于进一步完善和规范投资审计工作的意见》和《济宁市公共投资建设项目审计监督管理办法》等有关规定，结合本市实际，制定本办法。</w:t>
      </w:r>
    </w:p>
    <w:p w14:paraId="07F6A6B5">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ascii="方正黑体简体" w:hAnsi="方正黑体简体" w:eastAsia="方正黑体简体" w:cs="方正黑体简体"/>
          <w:b/>
          <w:bCs/>
        </w:rPr>
        <w:t>第二条</w:t>
      </w:r>
      <w:r>
        <w:rPr>
          <w:rFonts w:ascii="仿宋_GB2312" w:eastAsia="仿宋_GB2312"/>
        </w:rPr>
        <w:t xml:space="preserve">  </w:t>
      </w:r>
      <w:r>
        <w:rPr>
          <w:rFonts w:hint="eastAsia" w:eastAsia="方正仿宋简体"/>
          <w:b/>
          <w:bCs/>
          <w:sz w:val="32"/>
          <w:szCs w:val="32"/>
        </w:rPr>
        <w:t>本办法所称公共投资建设项目，是指政府、国有企业事业单位投资且拥有实际控制权的建设项目，以及政府与社会合作建设的关系全局性、战略性、基础性的重大公共性、公益性建设项目，具体包括以下项目：</w:t>
      </w:r>
      <w:r>
        <w:rPr>
          <w:rFonts w:eastAsia="方正仿宋简体"/>
          <w:b/>
          <w:bCs/>
          <w:sz w:val="32"/>
          <w:szCs w:val="32"/>
        </w:rPr>
        <w:t xml:space="preserve"> </w:t>
      </w:r>
    </w:p>
    <w:p w14:paraId="136AA268">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（一）政府或者国有企业事业单位投资占项目总投资的比例超过</w:t>
      </w:r>
      <w:r>
        <w:rPr>
          <w:rFonts w:eastAsia="方正仿宋简体"/>
          <w:b/>
          <w:bCs/>
          <w:sz w:val="32"/>
          <w:szCs w:val="32"/>
        </w:rPr>
        <w:t>50%</w:t>
      </w:r>
      <w:r>
        <w:rPr>
          <w:rFonts w:hint="eastAsia" w:eastAsia="方正仿宋简体"/>
          <w:b/>
          <w:bCs/>
          <w:sz w:val="32"/>
          <w:szCs w:val="32"/>
        </w:rPr>
        <w:t>的建设项目；</w:t>
      </w:r>
    </w:p>
    <w:p w14:paraId="29F2C4B0">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（二）政府或者国有企业事业单位投资占项目总投资的比例为</w:t>
      </w:r>
      <w:r>
        <w:rPr>
          <w:rFonts w:eastAsia="方正仿宋简体"/>
          <w:b/>
          <w:bCs/>
          <w:sz w:val="32"/>
          <w:szCs w:val="32"/>
        </w:rPr>
        <w:t>50%</w:t>
      </w:r>
      <w:r>
        <w:rPr>
          <w:rFonts w:hint="eastAsia" w:eastAsia="方正仿宋简体"/>
          <w:b/>
          <w:bCs/>
          <w:sz w:val="32"/>
          <w:szCs w:val="32"/>
        </w:rPr>
        <w:t>及以下，但政府或者国有企业事业单位拥有项目建设或者运营实际控制权的建设项目；</w:t>
      </w:r>
    </w:p>
    <w:p w14:paraId="37325071">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（三）国有资本占控股或者主导地位的企业投资的非生产性重大建设项目；</w:t>
      </w:r>
      <w:r>
        <w:rPr>
          <w:rFonts w:eastAsia="方正仿宋简体"/>
          <w:b/>
          <w:bCs/>
          <w:sz w:val="32"/>
          <w:szCs w:val="32"/>
        </w:rPr>
        <w:t xml:space="preserve"> </w:t>
      </w:r>
    </w:p>
    <w:p w14:paraId="4B4EF2BD">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（四）法律、法规、规章和曲阜市人民政府规定的其他重大建设项目。</w:t>
      </w:r>
    </w:p>
    <w:p w14:paraId="0514101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方正仿宋简体"/>
          <w:b/>
          <w:bCs/>
          <w:sz w:val="32"/>
          <w:szCs w:val="32"/>
        </w:rPr>
      </w:pPr>
      <w:r>
        <w:rPr>
          <w:rFonts w:hint="eastAsia" w:ascii="方正黑体简体" w:hAnsi="方正黑体简体" w:eastAsia="方正黑体简体" w:cs="方正黑体简体"/>
          <w:b/>
          <w:bCs/>
        </w:rPr>
        <w:t>第三条</w:t>
      </w:r>
      <w:r>
        <w:rPr>
          <w:rFonts w:ascii="仿宋_GB2312" w:eastAsia="仿宋_GB2312"/>
        </w:rPr>
        <w:t xml:space="preserve">  </w:t>
      </w:r>
      <w:r>
        <w:rPr>
          <w:rFonts w:hint="eastAsia" w:eastAsia="方正仿宋简体"/>
          <w:b/>
          <w:bCs/>
          <w:sz w:val="32"/>
          <w:szCs w:val="32"/>
        </w:rPr>
        <w:t>本市公共投资建设项目的审计监督工作应当遵守本办法。</w:t>
      </w:r>
    </w:p>
    <w:p w14:paraId="786809D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方正仿宋简体"/>
          <w:b/>
          <w:bCs/>
          <w:sz w:val="32"/>
          <w:szCs w:val="32"/>
        </w:rPr>
      </w:pPr>
      <w:r>
        <w:rPr>
          <w:rFonts w:hint="eastAsia" w:ascii="方正黑体简体" w:hAnsi="方正黑体简体" w:eastAsia="方正黑体简体" w:cs="方正黑体简体"/>
          <w:b/>
          <w:bCs/>
        </w:rPr>
        <w:t>第四条</w:t>
      </w:r>
      <w:r>
        <w:rPr>
          <w:rFonts w:ascii="仿宋_GB2312" w:eastAsia="仿宋_GB2312"/>
        </w:rPr>
        <w:t xml:space="preserve">  </w:t>
      </w:r>
      <w:r>
        <w:rPr>
          <w:rFonts w:hint="eastAsia" w:eastAsia="方正仿宋简体"/>
          <w:b/>
          <w:bCs/>
          <w:sz w:val="32"/>
          <w:szCs w:val="32"/>
        </w:rPr>
        <w:t>曲阜市审计局（以下简称“审计机关”）依法对公共投资建设项目实施审计，独立行使审计监督权，不受其他行政机关、社会团体和个人干涉。</w:t>
      </w:r>
      <w:r>
        <w:rPr>
          <w:rFonts w:eastAsia="方正仿宋简体"/>
          <w:b/>
          <w:bCs/>
          <w:sz w:val="32"/>
          <w:szCs w:val="32"/>
        </w:rPr>
        <w:t xml:space="preserve"> </w:t>
      </w:r>
    </w:p>
    <w:p w14:paraId="3F262AFE">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ascii="方正黑体简体" w:hAnsi="方正黑体简体" w:eastAsia="方正黑体简体" w:cs="方正黑体简体"/>
          <w:b/>
          <w:bCs/>
        </w:rPr>
        <w:t>第五条</w:t>
      </w:r>
      <w:r>
        <w:rPr>
          <w:rFonts w:ascii="仿宋_GB2312" w:eastAsia="仿宋_GB2312"/>
        </w:rPr>
        <w:t xml:space="preserve">  </w:t>
      </w:r>
      <w:r>
        <w:rPr>
          <w:rFonts w:hint="eastAsia" w:eastAsia="方正仿宋简体"/>
          <w:b/>
          <w:bCs/>
          <w:sz w:val="32"/>
          <w:szCs w:val="32"/>
        </w:rPr>
        <w:t>发展和改革、财政、国资、住房和城乡建设、交通运输、水务、自然资源和规划、生态环境等部门，应当按照各自职责协助审计机关做好公共投资建设项目审计监督工作。</w:t>
      </w:r>
    </w:p>
    <w:p w14:paraId="58C62C1B">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建设单位应当完善建设程序、工程建设内容和财务核算资料，建立健全工程项目管理制度。公共投资建设项目竣工验收后，按照有关规定及时编制准确、完整的工程结算及竣工决算。切实履行项目建设管理职责，并承担项目建设管理的主体责任。</w:t>
      </w:r>
    </w:p>
    <w:p w14:paraId="4B2FA34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方正仿宋简体"/>
          <w:b/>
          <w:bCs/>
          <w:sz w:val="32"/>
          <w:szCs w:val="32"/>
        </w:rPr>
      </w:pPr>
      <w:r>
        <w:rPr>
          <w:rFonts w:hint="eastAsia" w:ascii="方正黑体简体" w:hAnsi="方正黑体简体" w:eastAsia="方正黑体简体" w:cs="方正黑体简体"/>
          <w:b/>
          <w:bCs/>
        </w:rPr>
        <w:t>第六条</w:t>
      </w:r>
      <w:r>
        <w:rPr>
          <w:rFonts w:ascii="仿宋_GB2312" w:eastAsia="仿宋_GB2312"/>
        </w:rPr>
        <w:t xml:space="preserve">  </w:t>
      </w:r>
      <w:r>
        <w:rPr>
          <w:rFonts w:hint="eastAsia" w:eastAsia="方正仿宋简体"/>
          <w:b/>
          <w:bCs/>
          <w:sz w:val="32"/>
          <w:szCs w:val="32"/>
        </w:rPr>
        <w:t>审计机关和审计人员在公共投资建设项目审计监督中，应当客观公正、实事求是、廉洁奉公、保守秘密，遵守回避制度。</w:t>
      </w:r>
    </w:p>
    <w:p w14:paraId="4AD0F4DC">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方正黑体简体" w:hAnsi="方正黑体简体" w:eastAsia="方正黑体简体" w:cs="方正黑体简体"/>
          <w:b/>
          <w:bCs/>
        </w:rPr>
      </w:pPr>
      <w:r>
        <w:rPr>
          <w:rFonts w:hint="eastAsia" w:ascii="方正黑体简体" w:hAnsi="方正黑体简体" w:eastAsia="方正黑体简体" w:cs="方正黑体简体"/>
          <w:b/>
          <w:bCs/>
        </w:rPr>
        <w:t>第二章  审计职责</w:t>
      </w:r>
    </w:p>
    <w:p w14:paraId="700B521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方正仿宋简体"/>
          <w:b/>
          <w:bCs/>
          <w:sz w:val="32"/>
          <w:szCs w:val="32"/>
        </w:rPr>
      </w:pPr>
      <w:r>
        <w:rPr>
          <w:rFonts w:hint="eastAsia" w:ascii="方正黑体简体" w:hAnsi="方正黑体简体" w:eastAsia="方正黑体简体" w:cs="方正黑体简体"/>
          <w:b/>
          <w:bCs/>
        </w:rPr>
        <w:t>第七条</w:t>
      </w:r>
      <w:r>
        <w:rPr>
          <w:rFonts w:ascii="仿宋_GB2312" w:eastAsia="仿宋_GB2312"/>
        </w:rPr>
        <w:t xml:space="preserve">  </w:t>
      </w:r>
      <w:r>
        <w:rPr>
          <w:rFonts w:hint="eastAsia" w:eastAsia="方正仿宋简体"/>
          <w:b/>
          <w:bCs/>
          <w:sz w:val="32"/>
          <w:szCs w:val="32"/>
        </w:rPr>
        <w:t>审计机关对列入年度审计计划的公共投资建设项目实行全面审计，对未列入年度审计计划的公共投资建设项目实行抽查审计。对市委、市政府安排的重大项目进行跟踪审计。</w:t>
      </w:r>
    </w:p>
    <w:p w14:paraId="7B7758F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方正仿宋简体"/>
          <w:b/>
          <w:bCs/>
          <w:sz w:val="32"/>
          <w:szCs w:val="32"/>
        </w:rPr>
      </w:pPr>
      <w:r>
        <w:rPr>
          <w:rFonts w:hint="eastAsia" w:ascii="方正黑体简体" w:hAnsi="方正黑体简体" w:eastAsia="方正黑体简体" w:cs="方正黑体简体"/>
          <w:b/>
          <w:bCs/>
        </w:rPr>
        <w:t>第八条</w:t>
      </w:r>
      <w:r>
        <w:rPr>
          <w:rFonts w:ascii="仿宋_GB2312" w:eastAsia="仿宋_GB2312"/>
        </w:rPr>
        <w:t xml:space="preserve">  </w:t>
      </w:r>
      <w:r>
        <w:rPr>
          <w:rFonts w:hint="eastAsia" w:eastAsia="方正仿宋简体"/>
          <w:b/>
          <w:bCs/>
          <w:sz w:val="32"/>
          <w:szCs w:val="32"/>
        </w:rPr>
        <w:t>审计机关对公共投资建设项目的概（预）算执行、工程结算、绩效情况进行审计或者专项审计调查，重点审计以下内容：</w:t>
      </w:r>
      <w:r>
        <w:rPr>
          <w:rFonts w:eastAsia="方正仿宋简体"/>
          <w:b/>
          <w:bCs/>
          <w:sz w:val="32"/>
          <w:szCs w:val="32"/>
        </w:rPr>
        <w:t xml:space="preserve"> </w:t>
      </w:r>
    </w:p>
    <w:p w14:paraId="01C551B2">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（一）履行基本建设程序情况；</w:t>
      </w:r>
    </w:p>
    <w:p w14:paraId="0408DFD3">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（二）投资控制和资金管理使用情况；</w:t>
      </w:r>
    </w:p>
    <w:p w14:paraId="1A3D99D3">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（三）项目建设管理情况；</w:t>
      </w:r>
    </w:p>
    <w:p w14:paraId="584C0AAB">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（四）有关政策措施执行和规划实施情况；</w:t>
      </w:r>
    </w:p>
    <w:p w14:paraId="3716A66A">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（五）合同签订、履行及变更情况；</w:t>
      </w:r>
    </w:p>
    <w:p w14:paraId="745EA36F">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（六）土地利用和征收拆迁补偿安置情况；</w:t>
      </w:r>
    </w:p>
    <w:p w14:paraId="6F976033">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（七）设备、物资和材料采购情况；</w:t>
      </w:r>
    </w:p>
    <w:p w14:paraId="63B5EAA6">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（八）工程结算情况；</w:t>
      </w:r>
    </w:p>
    <w:p w14:paraId="2D2BB83B">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（九）工程财务核算情况；</w:t>
      </w:r>
    </w:p>
    <w:p w14:paraId="33856EE2">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（十）投资绩效情况；</w:t>
      </w:r>
    </w:p>
    <w:p w14:paraId="4602B04E">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ascii="仿宋_GB2312" w:eastAsia="仿宋_GB2312"/>
        </w:rPr>
      </w:pPr>
      <w:r>
        <w:rPr>
          <w:rFonts w:hint="eastAsia" w:eastAsia="方正仿宋简体"/>
          <w:b/>
          <w:bCs/>
          <w:sz w:val="32"/>
          <w:szCs w:val="32"/>
        </w:rPr>
        <w:t>（十一）需要重点审计的其他内容。</w:t>
      </w:r>
    </w:p>
    <w:p w14:paraId="6BE7CB7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方正仿宋简体"/>
          <w:b/>
          <w:bCs/>
          <w:sz w:val="32"/>
          <w:szCs w:val="32"/>
        </w:rPr>
      </w:pPr>
      <w:r>
        <w:rPr>
          <w:rFonts w:hint="eastAsia" w:ascii="方正黑体简体" w:hAnsi="方正黑体简体" w:eastAsia="方正黑体简体" w:cs="方正黑体简体"/>
          <w:b/>
          <w:bCs/>
        </w:rPr>
        <w:t>第九条</w:t>
      </w:r>
      <w:r>
        <w:rPr>
          <w:rFonts w:ascii="仿宋_GB2312" w:eastAsia="仿宋_GB2312"/>
        </w:rPr>
        <w:t xml:space="preserve">  </w:t>
      </w:r>
      <w:r>
        <w:rPr>
          <w:rFonts w:hint="eastAsia" w:eastAsia="方正仿宋简体"/>
          <w:b/>
          <w:bCs/>
          <w:sz w:val="32"/>
          <w:szCs w:val="32"/>
        </w:rPr>
        <w:t>审计机关开展建设项目审计，应当确定建设单位或其授权委托进行建设管理的单位为被审计单位。必要时，延伸审计调查与公共投资建设项目有关的勘察、设计、施工、监理、供货等单位。</w:t>
      </w:r>
    </w:p>
    <w:p w14:paraId="53134140">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ascii="方正黑体简体" w:hAnsi="方正黑体简体" w:eastAsia="方正黑体简体" w:cs="方正黑体简体"/>
          <w:b/>
          <w:bCs/>
        </w:rPr>
        <w:t>第十条</w:t>
      </w:r>
      <w:r>
        <w:rPr>
          <w:rFonts w:hint="eastAsia" w:ascii="仿宋_GB2312" w:eastAsia="仿宋_GB2312"/>
        </w:rPr>
        <w:t xml:space="preserve">  </w:t>
      </w:r>
      <w:r>
        <w:rPr>
          <w:rFonts w:hint="eastAsia" w:eastAsia="方正仿宋简体"/>
          <w:b/>
          <w:bCs/>
          <w:sz w:val="32"/>
          <w:szCs w:val="32"/>
        </w:rPr>
        <w:t>审计机关根据审计工作需要，可以要求被审计单位提供下列资料（包括文档资料、电子数据和影像资料），被审计单位应当在审计机关规定的期限内提供，不得拒绝、拖延，并对资料的真实性和完整性负责：</w:t>
      </w:r>
    </w:p>
    <w:p w14:paraId="63B542CF">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（一）立项审批、设计概算、规划许可、建设用地许可等文件；</w:t>
      </w:r>
    </w:p>
    <w:p w14:paraId="5117C2CE">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（二）招投标资料，招标控制价评审资料，合同文件等；</w:t>
      </w:r>
    </w:p>
    <w:p w14:paraId="5A7CF9AA">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（三）勘察、设计成果文件、工程施工图、竣工图、现场签证、工程变更、隐蔽工程影像资料、施工技术资料、监理资料、竣工验收等资料；</w:t>
      </w:r>
    </w:p>
    <w:p w14:paraId="63001658">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（四）与项目建设有关的财务会计资料；</w:t>
      </w:r>
    </w:p>
    <w:p w14:paraId="7A9F47F1">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（五）工程结算书、工程决算报表等资料；</w:t>
      </w:r>
    </w:p>
    <w:p w14:paraId="5807F8DC">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（六）审计机关要求提供的其他资料。</w:t>
      </w:r>
    </w:p>
    <w:p w14:paraId="1EA89C3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方正仿宋简体"/>
          <w:b/>
          <w:bCs/>
          <w:sz w:val="32"/>
          <w:szCs w:val="32"/>
        </w:rPr>
      </w:pPr>
      <w:r>
        <w:rPr>
          <w:rFonts w:hint="eastAsia" w:ascii="方正黑体简体" w:hAnsi="方正黑体简体" w:eastAsia="方正黑体简体" w:cs="方正黑体简体"/>
          <w:b/>
          <w:bCs/>
        </w:rPr>
        <w:t>第十一条</w:t>
      </w:r>
      <w:r>
        <w:rPr>
          <w:rFonts w:ascii="仿宋_GB2312" w:eastAsia="仿宋_GB2312"/>
        </w:rPr>
        <w:t xml:space="preserve">  </w:t>
      </w:r>
      <w:r>
        <w:rPr>
          <w:rFonts w:hint="eastAsia" w:eastAsia="方正仿宋简体"/>
          <w:b/>
          <w:bCs/>
          <w:sz w:val="32"/>
          <w:szCs w:val="32"/>
        </w:rPr>
        <w:t>审计机关对公共投资建设项目实施审计监督，不影响公共投资建设项目的正常开展，不影响相关部门和单位依法履行相关合同。</w:t>
      </w:r>
    </w:p>
    <w:p w14:paraId="532835A3">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方正黑体简体" w:hAnsi="方正黑体简体" w:eastAsia="方正黑体简体" w:cs="方正黑体简体"/>
          <w:b/>
          <w:bCs/>
        </w:rPr>
      </w:pPr>
      <w:r>
        <w:rPr>
          <w:rFonts w:hint="eastAsia" w:ascii="方正黑体简体" w:hAnsi="方正黑体简体" w:eastAsia="方正黑体简体" w:cs="方正黑体简体"/>
          <w:b/>
          <w:bCs/>
        </w:rPr>
        <w:t>第三章  审计实施</w:t>
      </w:r>
    </w:p>
    <w:p w14:paraId="3651033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方正仿宋简体"/>
          <w:b/>
          <w:bCs/>
          <w:sz w:val="32"/>
          <w:szCs w:val="32"/>
        </w:rPr>
      </w:pPr>
      <w:r>
        <w:rPr>
          <w:rFonts w:hint="eastAsia" w:ascii="方正黑体简体" w:hAnsi="方正黑体简体" w:eastAsia="方正黑体简体" w:cs="方正黑体简体"/>
          <w:b/>
          <w:bCs/>
        </w:rPr>
        <w:t>第十二条</w:t>
      </w:r>
      <w:r>
        <w:rPr>
          <w:rFonts w:ascii="仿宋_GB2312" w:eastAsia="仿宋_GB2312"/>
        </w:rPr>
        <w:t xml:space="preserve">  </w:t>
      </w:r>
      <w:r>
        <w:rPr>
          <w:rFonts w:hint="eastAsia" w:eastAsia="方正仿宋简体"/>
          <w:b/>
          <w:bCs/>
          <w:sz w:val="32"/>
          <w:szCs w:val="32"/>
        </w:rPr>
        <w:t>审计机关根据法律、法规、规章规定和本级人民政府要求及上级审计机关工作安排，编制年度公共投资审计项目计划，经市政府审核，按规定程序报批后执行。公共投资建设项目年度审计项目计划确需调整的，按照原审批程序办理。</w:t>
      </w:r>
    </w:p>
    <w:p w14:paraId="51558AF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方正仿宋简体"/>
          <w:b/>
          <w:bCs/>
          <w:sz w:val="32"/>
          <w:szCs w:val="32"/>
        </w:rPr>
      </w:pPr>
      <w:r>
        <w:rPr>
          <w:rFonts w:hint="eastAsia" w:ascii="方正黑体简体" w:hAnsi="方正黑体简体" w:eastAsia="方正黑体简体" w:cs="方正黑体简体"/>
          <w:b/>
          <w:bCs/>
        </w:rPr>
        <w:t>第十三条</w:t>
      </w:r>
      <w:r>
        <w:rPr>
          <w:rFonts w:ascii="仿宋_GB2312" w:eastAsia="仿宋_GB2312"/>
        </w:rPr>
        <w:t xml:space="preserve">  </w:t>
      </w:r>
      <w:r>
        <w:rPr>
          <w:rFonts w:hint="eastAsia" w:eastAsia="方正仿宋简体"/>
          <w:b/>
          <w:bCs/>
          <w:sz w:val="32"/>
          <w:szCs w:val="32"/>
        </w:rPr>
        <w:t>公共投资建设项目实行项目审计备案制，建设单位应当及时向审计机关报送相关资料，在项目立项后报送项目基本情况、在项目完工后报送项目竣工决算报表等相关资料。</w:t>
      </w:r>
    </w:p>
    <w:p w14:paraId="3E094F27">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ascii="方正黑体简体" w:hAnsi="方正黑体简体" w:eastAsia="方正黑体简体" w:cs="方正黑体简体"/>
          <w:b/>
          <w:bCs/>
        </w:rPr>
        <w:t>第十四条</w:t>
      </w:r>
      <w:r>
        <w:rPr>
          <w:rFonts w:ascii="仿宋_GB2312" w:eastAsia="仿宋_GB2312"/>
        </w:rPr>
        <w:t xml:space="preserve">  </w:t>
      </w:r>
      <w:r>
        <w:rPr>
          <w:rFonts w:hint="eastAsia" w:eastAsia="方正仿宋简体"/>
          <w:b/>
          <w:bCs/>
          <w:sz w:val="32"/>
          <w:szCs w:val="32"/>
        </w:rPr>
        <w:t>被审计单位应当配合审计机关对公共投资建设项目实施审计监督，市委、市政府安排的重大公共投资建设项目在建设过程中的重大方案调整、重大工程变更等有可能对工程造价产生较大影响的事项，应当履行相关手续并及时告知审计机关，同时按照审计机关的要求提供相关资料。</w:t>
      </w:r>
    </w:p>
    <w:p w14:paraId="43222489">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审计机关对项目建设过程中发现的问题，应当及时向被审计单位提出意见和建议并督促整改。</w:t>
      </w:r>
    </w:p>
    <w:p w14:paraId="2EC6DFC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方正仿宋简体"/>
          <w:b/>
          <w:bCs/>
          <w:sz w:val="32"/>
          <w:szCs w:val="32"/>
        </w:rPr>
      </w:pPr>
      <w:r>
        <w:rPr>
          <w:rFonts w:hint="eastAsia" w:ascii="方正黑体简体" w:hAnsi="方正黑体简体" w:eastAsia="方正黑体简体" w:cs="方正黑体简体"/>
          <w:b/>
          <w:bCs/>
        </w:rPr>
        <w:t>第十五条</w:t>
      </w:r>
      <w:r>
        <w:rPr>
          <w:rFonts w:ascii="仿宋_GB2312" w:eastAsia="仿宋_GB2312"/>
        </w:rPr>
        <w:t xml:space="preserve">  </w:t>
      </w:r>
      <w:r>
        <w:rPr>
          <w:rFonts w:hint="eastAsia" w:eastAsia="方正仿宋简体"/>
          <w:b/>
          <w:bCs/>
          <w:sz w:val="32"/>
          <w:szCs w:val="32"/>
        </w:rPr>
        <w:t>审计机关和审计人员应当在法定职权范围内开展审计监督工作，不得参与工程项目建设决策与审批、征地拆迁、工程招标、物资采购、质量评价、工程结算、竣工验收等管理活动。</w:t>
      </w:r>
    </w:p>
    <w:p w14:paraId="3F0EB3EA">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ascii="方正黑体简体" w:hAnsi="方正黑体简体" w:eastAsia="方正黑体简体" w:cs="方正黑体简体"/>
          <w:b/>
          <w:bCs/>
        </w:rPr>
        <w:t>第十六条</w:t>
      </w:r>
      <w:r>
        <w:rPr>
          <w:rFonts w:ascii="仿宋_GB2312" w:eastAsia="仿宋_GB2312"/>
        </w:rPr>
        <w:t xml:space="preserve">  </w:t>
      </w:r>
      <w:r>
        <w:rPr>
          <w:rFonts w:hint="eastAsia" w:eastAsia="方正仿宋简体"/>
          <w:b/>
          <w:bCs/>
          <w:sz w:val="32"/>
          <w:szCs w:val="32"/>
        </w:rPr>
        <w:t>审计机关实施公共投资建设项目审计，必须由审计机关人员担任审计组组长和主审，遇有相关专业知识局限、审计力量不足等情况时，可以通过政府购买服务方式，聘用具备相应资质的社会中介机构（以下简称“社会中介机构”）或者符合审计职业要求的专业人员（以下简称“专业人员”）参与审计。</w:t>
      </w:r>
    </w:p>
    <w:p w14:paraId="6E38EA5F">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聘用的社会中介机构或者专业人员应对出具的工作结果的真实性、合法性负责，审计机关对利用社会中介机构或者专业人员的工作结果所形成的审计结论负责。</w:t>
      </w:r>
    </w:p>
    <w:p w14:paraId="23736F6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方正仿宋简体"/>
          <w:b/>
          <w:bCs/>
          <w:sz w:val="32"/>
          <w:szCs w:val="32"/>
        </w:rPr>
      </w:pPr>
      <w:r>
        <w:rPr>
          <w:rFonts w:hint="eastAsia" w:ascii="方正黑体简体" w:hAnsi="方正黑体简体" w:eastAsia="方正黑体简体" w:cs="方正黑体简体"/>
          <w:b/>
          <w:bCs/>
        </w:rPr>
        <w:t>第十七条</w:t>
      </w:r>
      <w:r>
        <w:rPr>
          <w:rFonts w:ascii="仿宋_GB2312" w:eastAsia="仿宋_GB2312"/>
        </w:rPr>
        <w:t xml:space="preserve">  </w:t>
      </w:r>
      <w:r>
        <w:rPr>
          <w:rFonts w:hint="eastAsia" w:eastAsia="方正仿宋简体"/>
          <w:b/>
          <w:bCs/>
          <w:sz w:val="32"/>
          <w:szCs w:val="32"/>
        </w:rPr>
        <w:t>审计机关负责公共投资建设项目社会中介机构和专业人员的监督管理工作。</w:t>
      </w:r>
    </w:p>
    <w:p w14:paraId="2F5F14B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方正仿宋简体"/>
          <w:b/>
          <w:bCs/>
          <w:sz w:val="32"/>
          <w:szCs w:val="32"/>
        </w:rPr>
      </w:pPr>
      <w:r>
        <w:rPr>
          <w:rFonts w:hint="eastAsia" w:ascii="方正黑体简体" w:hAnsi="方正黑体简体" w:eastAsia="方正黑体简体" w:cs="方正黑体简体"/>
          <w:b/>
          <w:bCs/>
        </w:rPr>
        <w:t>第十八条</w:t>
      </w:r>
      <w:r>
        <w:rPr>
          <w:rFonts w:ascii="仿宋_GB2312" w:eastAsia="仿宋_GB2312"/>
        </w:rPr>
        <w:t xml:space="preserve">  </w:t>
      </w:r>
      <w:r>
        <w:rPr>
          <w:rFonts w:hint="eastAsia" w:eastAsia="方正仿宋简体"/>
          <w:b/>
          <w:bCs/>
          <w:sz w:val="32"/>
          <w:szCs w:val="32"/>
        </w:rPr>
        <w:t>审计机关实施公共投资建设项目审计，聘用社会中介机构和专业人员的费用，列入本级财政预算。</w:t>
      </w:r>
    </w:p>
    <w:p w14:paraId="7EF11C4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方正仿宋简体"/>
          <w:b/>
          <w:bCs/>
          <w:sz w:val="32"/>
          <w:szCs w:val="32"/>
        </w:rPr>
      </w:pPr>
      <w:r>
        <w:rPr>
          <w:rFonts w:hint="eastAsia" w:ascii="方正黑体简体" w:hAnsi="方正黑体简体" w:eastAsia="方正黑体简体" w:cs="方正黑体简体"/>
          <w:b/>
          <w:bCs/>
        </w:rPr>
        <w:t>第十九条</w:t>
      </w:r>
      <w:r>
        <w:rPr>
          <w:rFonts w:ascii="仿宋_GB2312" w:eastAsia="仿宋_GB2312"/>
        </w:rPr>
        <w:t xml:space="preserve">  </w:t>
      </w:r>
      <w:r>
        <w:rPr>
          <w:rFonts w:hint="eastAsia" w:eastAsia="方正仿宋简体"/>
          <w:b/>
          <w:bCs/>
          <w:sz w:val="32"/>
          <w:szCs w:val="32"/>
        </w:rPr>
        <w:t>审计机关应运用与公共投资建设项目有关的数据信息，创新大数据审计技术方法，利用云计算、大数据和互联网等信息新技术手段开展公共投资建设项目审计。</w:t>
      </w:r>
    </w:p>
    <w:p w14:paraId="35C12622">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方正黑体简体" w:hAnsi="方正黑体简体" w:eastAsia="方正黑体简体" w:cs="方正黑体简体"/>
          <w:b/>
          <w:bCs/>
        </w:rPr>
      </w:pPr>
      <w:r>
        <w:rPr>
          <w:rFonts w:hint="eastAsia" w:ascii="方正黑体简体" w:hAnsi="方正黑体简体" w:eastAsia="方正黑体简体" w:cs="方正黑体简体"/>
          <w:b/>
          <w:bCs/>
        </w:rPr>
        <w:t>第四章  审计结果运用和执行</w:t>
      </w:r>
    </w:p>
    <w:p w14:paraId="34064B14">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ascii="方正黑体简体" w:hAnsi="方正黑体简体" w:eastAsia="方正黑体简体" w:cs="方正黑体简体"/>
          <w:b/>
          <w:bCs/>
        </w:rPr>
        <w:t>第二十条</w:t>
      </w:r>
      <w:r>
        <w:rPr>
          <w:rFonts w:ascii="仿宋_GB2312" w:eastAsia="仿宋_GB2312"/>
        </w:rPr>
        <w:t xml:space="preserve">  </w:t>
      </w:r>
      <w:r>
        <w:rPr>
          <w:rFonts w:hint="eastAsia" w:eastAsia="方正仿宋简体"/>
          <w:b/>
          <w:bCs/>
          <w:sz w:val="32"/>
          <w:szCs w:val="32"/>
        </w:rPr>
        <w:t>对平等民事主体在合同中约定采用审计结果作为竣工结算依据的，审计机关应依照《中华人民共和国民法典》等有关规定，尊重双方意愿。</w:t>
      </w:r>
    </w:p>
    <w:p w14:paraId="49E7926B">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审计项目结束后，审计机关应依法独立出具公共投资建设项目审计报告，对审计发现的结算不实等问题，应作出审计决定，责令建设单位整改；对审计发现的违纪违法、损失浪费等问题线索，应依法移送有关部门处理。</w:t>
      </w:r>
    </w:p>
    <w:p w14:paraId="193FD80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方正仿宋简体"/>
          <w:b/>
          <w:bCs/>
          <w:sz w:val="32"/>
          <w:szCs w:val="32"/>
        </w:rPr>
      </w:pPr>
      <w:r>
        <w:rPr>
          <w:rFonts w:hint="eastAsia" w:ascii="方正黑体简体" w:hAnsi="方正黑体简体" w:eastAsia="方正黑体简体" w:cs="方正黑体简体"/>
          <w:b/>
          <w:bCs/>
        </w:rPr>
        <w:t>第二十一条</w:t>
      </w:r>
      <w:r>
        <w:rPr>
          <w:rFonts w:ascii="仿宋_GB2312" w:eastAsia="仿宋_GB2312"/>
        </w:rPr>
        <w:t xml:space="preserve">  </w:t>
      </w:r>
      <w:r>
        <w:rPr>
          <w:rFonts w:hint="eastAsia" w:eastAsia="方正仿宋简体"/>
          <w:b/>
          <w:bCs/>
          <w:sz w:val="32"/>
          <w:szCs w:val="32"/>
        </w:rPr>
        <w:t>审计机关认定被审计单位多计工程价款以及其他违反财政收支、财务收支规定的行为，应当在法定职权范围内依法作出处理、处罚的审计决定。</w:t>
      </w:r>
    </w:p>
    <w:p w14:paraId="4D71F48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方正仿宋简体"/>
          <w:b/>
          <w:bCs/>
          <w:sz w:val="32"/>
          <w:szCs w:val="32"/>
        </w:rPr>
      </w:pPr>
      <w:r>
        <w:rPr>
          <w:rFonts w:hint="eastAsia" w:ascii="方正黑体简体" w:hAnsi="方正黑体简体" w:eastAsia="方正黑体简体" w:cs="方正黑体简体"/>
          <w:b/>
          <w:bCs/>
        </w:rPr>
        <w:t>第二十二条</w:t>
      </w:r>
      <w:r>
        <w:rPr>
          <w:rFonts w:ascii="仿宋_GB2312" w:eastAsia="仿宋_GB2312"/>
        </w:rPr>
        <w:t xml:space="preserve">  </w:t>
      </w:r>
      <w:r>
        <w:rPr>
          <w:rFonts w:hint="eastAsia" w:eastAsia="方正仿宋简体"/>
          <w:b/>
          <w:bCs/>
          <w:sz w:val="32"/>
          <w:szCs w:val="32"/>
        </w:rPr>
        <w:t>被审计单位应依法执行审计决定。对审计机关作出的有关财政收支的审计决定不服的，可以自审计决定送达之日起</w:t>
      </w:r>
      <w:r>
        <w:rPr>
          <w:rFonts w:eastAsia="方正仿宋简体"/>
          <w:b/>
          <w:bCs/>
          <w:sz w:val="32"/>
          <w:szCs w:val="32"/>
        </w:rPr>
        <w:t>60</w:t>
      </w:r>
      <w:r>
        <w:rPr>
          <w:rFonts w:hint="eastAsia" w:eastAsia="方正仿宋简体"/>
          <w:b/>
          <w:bCs/>
          <w:sz w:val="32"/>
          <w:szCs w:val="32"/>
        </w:rPr>
        <w:t>日内提出书面申请，提请审计机关的本级人民政府裁决。本级人民政府的裁决为最终决定。</w:t>
      </w:r>
    </w:p>
    <w:p w14:paraId="780AAB2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方正仿宋简体"/>
          <w:b/>
          <w:bCs/>
          <w:sz w:val="32"/>
          <w:szCs w:val="32"/>
        </w:rPr>
      </w:pPr>
      <w:r>
        <w:rPr>
          <w:rFonts w:hint="eastAsia" w:ascii="方正黑体简体" w:hAnsi="方正黑体简体" w:eastAsia="方正黑体简体" w:cs="方正黑体简体"/>
          <w:b/>
          <w:bCs/>
        </w:rPr>
        <w:t>第二十三条</w:t>
      </w:r>
      <w:r>
        <w:rPr>
          <w:rFonts w:ascii="仿宋_GB2312" w:eastAsia="仿宋_GB2312"/>
        </w:rPr>
        <w:t xml:space="preserve">  </w:t>
      </w:r>
      <w:r>
        <w:rPr>
          <w:rFonts w:hint="eastAsia" w:eastAsia="方正仿宋简体"/>
          <w:b/>
          <w:bCs/>
          <w:sz w:val="32"/>
          <w:szCs w:val="32"/>
        </w:rPr>
        <w:t>除本办法第二十二条规定的可以提请裁决的审计决定外，被审计单位对审计机关作出的其他审计决定不服的，可以依法申请行政复议或者提起行政诉讼。</w:t>
      </w:r>
    </w:p>
    <w:p w14:paraId="1618F47D">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b/>
        </w:rPr>
      </w:pPr>
    </w:p>
    <w:p w14:paraId="705AB370">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方正黑体简体" w:hAnsi="方正黑体简体" w:eastAsia="方正黑体简体" w:cs="方正黑体简体"/>
          <w:b/>
          <w:bCs/>
        </w:rPr>
      </w:pPr>
      <w:r>
        <w:rPr>
          <w:rFonts w:hint="eastAsia" w:ascii="方正黑体简体" w:hAnsi="方正黑体简体" w:eastAsia="方正黑体简体" w:cs="方正黑体简体"/>
          <w:b/>
          <w:bCs/>
        </w:rPr>
        <w:t>第五章  责任追究</w:t>
      </w:r>
    </w:p>
    <w:p w14:paraId="194D83C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方正仿宋简体"/>
          <w:b/>
          <w:bCs/>
          <w:sz w:val="32"/>
          <w:szCs w:val="32"/>
        </w:rPr>
      </w:pPr>
      <w:r>
        <w:rPr>
          <w:rFonts w:hint="eastAsia" w:ascii="方正黑体简体" w:hAnsi="方正黑体简体" w:eastAsia="方正黑体简体" w:cs="方正黑体简体"/>
          <w:b/>
          <w:bCs/>
        </w:rPr>
        <w:t>第二十四条</w:t>
      </w:r>
      <w:r>
        <w:rPr>
          <w:rFonts w:ascii="仿宋_GB2312" w:eastAsia="仿宋_GB2312"/>
        </w:rPr>
        <w:t xml:space="preserve">  </w:t>
      </w:r>
      <w:r>
        <w:rPr>
          <w:rFonts w:hint="eastAsia" w:eastAsia="方正仿宋简体"/>
          <w:b/>
          <w:bCs/>
          <w:sz w:val="32"/>
          <w:szCs w:val="32"/>
        </w:rPr>
        <w:t>被审计单位拒绝、拖延提供与审计事项有关的资料，或者提供的资料不真实、不完整，或者拒绝、阻碍检查的，由审计机关依据《中华人民共和国审计法实施条例》的规定，责令改正，可以通报批评，给予警告；拒不改正的，对被审计单位可以处</w:t>
      </w:r>
      <w:r>
        <w:rPr>
          <w:rFonts w:eastAsia="方正仿宋简体"/>
          <w:b/>
          <w:bCs/>
          <w:sz w:val="32"/>
          <w:szCs w:val="32"/>
        </w:rPr>
        <w:t>5</w:t>
      </w:r>
      <w:r>
        <w:rPr>
          <w:rFonts w:hint="eastAsia" w:eastAsia="方正仿宋简体"/>
          <w:b/>
          <w:bCs/>
          <w:sz w:val="32"/>
          <w:szCs w:val="32"/>
        </w:rPr>
        <w:t>万元以下的罚款，对直接负责的主管人员和其他直接责任人员，可以处</w:t>
      </w:r>
      <w:r>
        <w:rPr>
          <w:rFonts w:eastAsia="方正仿宋简体"/>
          <w:b/>
          <w:bCs/>
          <w:sz w:val="32"/>
          <w:szCs w:val="32"/>
        </w:rPr>
        <w:t>2</w:t>
      </w:r>
      <w:r>
        <w:rPr>
          <w:rFonts w:hint="eastAsia" w:eastAsia="方正仿宋简体"/>
          <w:b/>
          <w:bCs/>
          <w:sz w:val="32"/>
          <w:szCs w:val="32"/>
        </w:rPr>
        <w:t>万元以下的罚款，审计机关认为应当给予处分的，及时向有关主管机关或者单位提出给予处分的建议；涉嫌犯罪的，依法追究刑事责任。</w:t>
      </w:r>
    </w:p>
    <w:p w14:paraId="46BC4C2B">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ascii="方正黑体简体" w:hAnsi="方正黑体简体" w:eastAsia="方正黑体简体" w:cs="方正黑体简体"/>
          <w:b/>
          <w:bCs/>
        </w:rPr>
        <w:t>第二十五条</w:t>
      </w:r>
      <w:r>
        <w:rPr>
          <w:rFonts w:ascii="仿宋_GB2312" w:eastAsia="仿宋_GB2312"/>
        </w:rPr>
        <w:t xml:space="preserve"> </w:t>
      </w:r>
      <w:r>
        <w:rPr>
          <w:rFonts w:hint="eastAsia" w:ascii="仿宋_GB2312" w:eastAsia="仿宋_GB2312"/>
          <w:lang w:val="en-US" w:eastAsia="zh-CN"/>
        </w:rPr>
        <w:t xml:space="preserve"> </w:t>
      </w:r>
      <w:r>
        <w:rPr>
          <w:rFonts w:hint="eastAsia" w:eastAsia="方正仿宋简体"/>
          <w:b/>
          <w:bCs/>
          <w:sz w:val="32"/>
          <w:szCs w:val="32"/>
        </w:rPr>
        <w:t xml:space="preserve">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 </w:t>
      </w:r>
    </w:p>
    <w:p w14:paraId="57236EB5">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（一）截留、挪用国家建设资金；</w:t>
      </w:r>
    </w:p>
    <w:p w14:paraId="01173BA0">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（二）以虚报、冒领、关联交易等手段骗取国家建设资金；</w:t>
      </w:r>
      <w:r>
        <w:rPr>
          <w:rFonts w:eastAsia="方正仿宋简体"/>
          <w:b/>
          <w:bCs/>
          <w:sz w:val="32"/>
          <w:szCs w:val="32"/>
        </w:rPr>
        <w:t xml:space="preserve"> </w:t>
      </w:r>
    </w:p>
    <w:p w14:paraId="172EB4BB">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（三）违反规定超概（预）算投资；</w:t>
      </w:r>
      <w:r>
        <w:rPr>
          <w:rFonts w:eastAsia="方正仿宋简体"/>
          <w:b/>
          <w:bCs/>
          <w:sz w:val="32"/>
          <w:szCs w:val="32"/>
        </w:rPr>
        <w:t xml:space="preserve"> </w:t>
      </w:r>
    </w:p>
    <w:p w14:paraId="2CC4D45C">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（四）虚列投资完成额；</w:t>
      </w:r>
      <w:r>
        <w:rPr>
          <w:rFonts w:eastAsia="方正仿宋简体"/>
          <w:b/>
          <w:bCs/>
          <w:sz w:val="32"/>
          <w:szCs w:val="32"/>
        </w:rPr>
        <w:t xml:space="preserve"> </w:t>
      </w:r>
    </w:p>
    <w:p w14:paraId="51046520">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eastAsia="方正仿宋简体"/>
          <w:b/>
          <w:bCs/>
          <w:sz w:val="32"/>
          <w:szCs w:val="32"/>
        </w:rPr>
      </w:pPr>
      <w:r>
        <w:rPr>
          <w:rFonts w:hint="eastAsia" w:eastAsia="方正仿宋简体"/>
          <w:b/>
          <w:bCs/>
          <w:sz w:val="32"/>
          <w:szCs w:val="32"/>
        </w:rPr>
        <w:t>（五）其他违反公共投资建设项目有关规定的行为。</w:t>
      </w:r>
      <w:r>
        <w:rPr>
          <w:rFonts w:eastAsia="方正仿宋简体"/>
          <w:b/>
          <w:bCs/>
          <w:sz w:val="32"/>
          <w:szCs w:val="32"/>
        </w:rPr>
        <w:t xml:space="preserve"> </w:t>
      </w:r>
    </w:p>
    <w:p w14:paraId="6650B6A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方正仿宋简体"/>
          <w:b/>
          <w:bCs/>
          <w:sz w:val="32"/>
          <w:szCs w:val="32"/>
        </w:rPr>
      </w:pPr>
      <w:r>
        <w:rPr>
          <w:rFonts w:hint="eastAsia" w:ascii="方正黑体简体" w:hAnsi="方正黑体简体" w:eastAsia="方正黑体简体" w:cs="方正黑体简体"/>
          <w:b/>
          <w:bCs/>
        </w:rPr>
        <w:t>第二十六条</w:t>
      </w:r>
      <w:r>
        <w:rPr>
          <w:rFonts w:ascii="仿宋_GB2312" w:eastAsia="仿宋_GB2312"/>
        </w:rPr>
        <w:t xml:space="preserve">  </w:t>
      </w:r>
      <w:r>
        <w:rPr>
          <w:rFonts w:hint="eastAsia" w:eastAsia="方正仿宋简体"/>
          <w:b/>
          <w:bCs/>
          <w:sz w:val="32"/>
          <w:szCs w:val="32"/>
        </w:rPr>
        <w:t>聘用的社会中介机构或者专业人员拒不服从监督管理的，相关社会中介机构、专业人员在审计中未恪守职业准则、执业规范，违反有关法律、法规、规章的，审计机关应当停止其承担的工作，依照规定作出相应的处理。</w:t>
      </w:r>
    </w:p>
    <w:p w14:paraId="433B09D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eastAsia="仿宋_GB2312"/>
        </w:rPr>
      </w:pPr>
      <w:r>
        <w:rPr>
          <w:rFonts w:hint="eastAsia" w:ascii="方正黑体简体" w:hAnsi="方正黑体简体" w:eastAsia="方正黑体简体" w:cs="方正黑体简体"/>
          <w:b/>
          <w:bCs/>
        </w:rPr>
        <w:t>第二十七条</w:t>
      </w:r>
      <w:r>
        <w:rPr>
          <w:rFonts w:ascii="仿宋_GB2312" w:eastAsia="仿宋_GB2312"/>
        </w:rPr>
        <w:t xml:space="preserve">  </w:t>
      </w:r>
      <w:r>
        <w:rPr>
          <w:rFonts w:hint="eastAsia" w:eastAsia="方正仿宋简体"/>
          <w:b/>
          <w:bCs/>
          <w:sz w:val="32"/>
          <w:szCs w:val="32"/>
        </w:rPr>
        <w:t>审计人员在公共投资建设项目审计中滥用职权、徇私舞弊、玩忽职守，造成重大影响的，由其所在单位或者上级机关依法给予处分；涉嫌犯罪的，依法追究刑事责任。</w:t>
      </w:r>
    </w:p>
    <w:p w14:paraId="06338088">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方正黑体简体" w:hAnsi="方正黑体简体" w:eastAsia="方正黑体简体" w:cs="方正黑体简体"/>
          <w:b/>
          <w:bCs/>
        </w:rPr>
      </w:pPr>
      <w:r>
        <w:rPr>
          <w:rFonts w:hint="eastAsia" w:ascii="方正黑体简体" w:hAnsi="方正黑体简体" w:eastAsia="方正黑体简体" w:cs="方正黑体简体"/>
          <w:b/>
          <w:bCs/>
        </w:rPr>
        <w:t>第六章  附    则</w:t>
      </w:r>
    </w:p>
    <w:p w14:paraId="56C268C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方正仿宋简体"/>
          <w:b/>
          <w:bCs/>
          <w:sz w:val="32"/>
          <w:szCs w:val="32"/>
        </w:rPr>
      </w:pPr>
      <w:r>
        <w:rPr>
          <w:rFonts w:hint="eastAsia" w:ascii="方正黑体简体" w:hAnsi="方正黑体简体" w:eastAsia="方正黑体简体" w:cs="方正黑体简体"/>
          <w:b/>
          <w:bCs/>
        </w:rPr>
        <w:t>第二十八条</w:t>
      </w:r>
      <w:r>
        <w:rPr>
          <w:rFonts w:ascii="仿宋_GB2312" w:eastAsia="仿宋_GB2312"/>
        </w:rPr>
        <w:t xml:space="preserve">  </w:t>
      </w:r>
      <w:r>
        <w:rPr>
          <w:rFonts w:hint="eastAsia" w:eastAsia="方正仿宋简体"/>
          <w:b/>
          <w:bCs/>
          <w:sz w:val="32"/>
          <w:szCs w:val="32"/>
        </w:rPr>
        <w:t>本办法自</w:t>
      </w:r>
      <w:r>
        <w:rPr>
          <w:rFonts w:eastAsia="方正仿宋简体"/>
          <w:b/>
          <w:bCs/>
          <w:sz w:val="32"/>
          <w:szCs w:val="32"/>
        </w:rPr>
        <w:t>20</w:t>
      </w:r>
      <w:r>
        <w:rPr>
          <w:rFonts w:hint="eastAsia" w:eastAsia="方正仿宋简体"/>
          <w:b/>
          <w:bCs/>
          <w:sz w:val="32"/>
          <w:szCs w:val="32"/>
        </w:rPr>
        <w:t>22年7月29日起施行，有效期至2023年12月31日。</w:t>
      </w:r>
    </w:p>
    <w:p w14:paraId="15D7D64D">
      <w:pPr>
        <w:pStyle w:val="15"/>
        <w:rPr>
          <w:rFonts w:hint="eastAsia" w:eastAsia="方正仿宋简体"/>
          <w:b/>
          <w:bCs/>
          <w:sz w:val="32"/>
          <w:szCs w:val="32"/>
        </w:rPr>
      </w:pPr>
    </w:p>
    <w:p w14:paraId="0F2E5987">
      <w:pPr>
        <w:rPr>
          <w:rFonts w:hint="eastAsia" w:eastAsia="方正仿宋简体"/>
          <w:b/>
          <w:bCs/>
          <w:sz w:val="32"/>
          <w:szCs w:val="32"/>
        </w:rPr>
      </w:pPr>
    </w:p>
    <w:p w14:paraId="5EEDCA03">
      <w:pPr>
        <w:pStyle w:val="2"/>
        <w:rPr>
          <w:rFonts w:hint="eastAsia" w:eastAsia="方正仿宋简体"/>
          <w:b/>
          <w:bCs/>
          <w:sz w:val="32"/>
          <w:szCs w:val="32"/>
        </w:rPr>
      </w:pPr>
    </w:p>
    <w:p w14:paraId="10F1048A">
      <w:pPr>
        <w:pStyle w:val="2"/>
        <w:keepNext w:val="0"/>
        <w:keepLines w:val="0"/>
        <w:pageBreakBefore w:val="0"/>
        <w:widowControl w:val="0"/>
        <w:kinsoku/>
        <w:wordWrap/>
        <w:overflowPunct/>
        <w:topLinePunct w:val="0"/>
        <w:autoSpaceDE/>
        <w:autoSpaceDN/>
        <w:bidi w:val="0"/>
        <w:adjustRightInd/>
        <w:snapToGrid/>
        <w:spacing w:after="157" w:afterLines="50" w:line="580" w:lineRule="exact"/>
        <w:ind w:firstLine="643"/>
        <w:textAlignment w:val="auto"/>
        <w:rPr>
          <w:rFonts w:eastAsia="方正楷体简体"/>
          <w:b/>
          <w:color w:val="000000"/>
          <w:sz w:val="32"/>
          <w:szCs w:val="32"/>
        </w:rPr>
      </w:pPr>
    </w:p>
    <w:p w14:paraId="12428DFE">
      <w:pPr>
        <w:pStyle w:val="2"/>
        <w:keepNext w:val="0"/>
        <w:keepLines w:val="0"/>
        <w:pageBreakBefore w:val="0"/>
        <w:widowControl w:val="0"/>
        <w:kinsoku/>
        <w:wordWrap/>
        <w:overflowPunct/>
        <w:topLinePunct w:val="0"/>
        <w:autoSpaceDE/>
        <w:autoSpaceDN/>
        <w:bidi w:val="0"/>
        <w:adjustRightInd/>
        <w:snapToGrid/>
        <w:spacing w:after="157" w:afterLines="50" w:line="580" w:lineRule="exact"/>
        <w:ind w:firstLine="643"/>
        <w:textAlignment w:val="auto"/>
        <w:rPr>
          <w:rFonts w:eastAsia="方正楷体简体"/>
          <w:b/>
          <w:color w:val="000000"/>
          <w:sz w:val="32"/>
          <w:szCs w:val="32"/>
        </w:rPr>
      </w:pPr>
    </w:p>
    <w:p w14:paraId="0DA4005E">
      <w:pPr>
        <w:pStyle w:val="2"/>
        <w:keepNext w:val="0"/>
        <w:keepLines w:val="0"/>
        <w:pageBreakBefore w:val="0"/>
        <w:widowControl w:val="0"/>
        <w:kinsoku/>
        <w:wordWrap/>
        <w:overflowPunct/>
        <w:topLinePunct w:val="0"/>
        <w:autoSpaceDE/>
        <w:autoSpaceDN/>
        <w:bidi w:val="0"/>
        <w:adjustRightInd/>
        <w:snapToGrid/>
        <w:spacing w:after="157" w:afterLines="50" w:line="580" w:lineRule="exact"/>
        <w:ind w:firstLine="643"/>
        <w:textAlignment w:val="auto"/>
        <w:rPr>
          <w:rFonts w:eastAsia="方正楷体简体"/>
          <w:b/>
          <w:color w:val="000000"/>
          <w:sz w:val="32"/>
          <w:szCs w:val="32"/>
        </w:rPr>
      </w:pPr>
    </w:p>
    <w:p w14:paraId="38481938">
      <w:pPr>
        <w:pStyle w:val="2"/>
        <w:keepNext w:val="0"/>
        <w:keepLines w:val="0"/>
        <w:pageBreakBefore w:val="0"/>
        <w:widowControl w:val="0"/>
        <w:kinsoku/>
        <w:wordWrap/>
        <w:overflowPunct/>
        <w:topLinePunct w:val="0"/>
        <w:autoSpaceDE/>
        <w:autoSpaceDN/>
        <w:bidi w:val="0"/>
        <w:adjustRightInd/>
        <w:snapToGrid/>
        <w:spacing w:after="157" w:afterLines="50" w:line="580" w:lineRule="exact"/>
        <w:ind w:firstLine="643"/>
        <w:textAlignment w:val="auto"/>
        <w:rPr>
          <w:rFonts w:eastAsia="方正楷体简体"/>
          <w:b/>
          <w:color w:val="000000"/>
          <w:sz w:val="32"/>
          <w:szCs w:val="32"/>
        </w:rPr>
      </w:pPr>
    </w:p>
    <w:p w14:paraId="134E7D42">
      <w:pPr>
        <w:pStyle w:val="2"/>
        <w:keepNext w:val="0"/>
        <w:keepLines w:val="0"/>
        <w:pageBreakBefore w:val="0"/>
        <w:widowControl w:val="0"/>
        <w:kinsoku/>
        <w:wordWrap/>
        <w:overflowPunct/>
        <w:topLinePunct w:val="0"/>
        <w:autoSpaceDE/>
        <w:autoSpaceDN/>
        <w:bidi w:val="0"/>
        <w:adjustRightInd/>
        <w:snapToGrid/>
        <w:spacing w:after="157" w:afterLines="50" w:line="580" w:lineRule="exact"/>
        <w:ind w:firstLine="643"/>
        <w:textAlignment w:val="auto"/>
        <w:rPr>
          <w:rFonts w:eastAsia="方正楷体简体"/>
          <w:b/>
          <w:color w:val="000000"/>
          <w:sz w:val="32"/>
          <w:szCs w:val="32"/>
        </w:rPr>
      </w:pPr>
    </w:p>
    <w:p w14:paraId="173AA2D1">
      <w:pPr>
        <w:pStyle w:val="2"/>
        <w:keepNext w:val="0"/>
        <w:keepLines w:val="0"/>
        <w:pageBreakBefore w:val="0"/>
        <w:widowControl w:val="0"/>
        <w:kinsoku/>
        <w:wordWrap/>
        <w:overflowPunct/>
        <w:topLinePunct w:val="0"/>
        <w:autoSpaceDE/>
        <w:autoSpaceDN/>
        <w:bidi w:val="0"/>
        <w:adjustRightInd/>
        <w:snapToGrid/>
        <w:spacing w:after="157" w:afterLines="50" w:line="580" w:lineRule="exact"/>
        <w:ind w:firstLine="643"/>
        <w:textAlignment w:val="auto"/>
        <w:rPr>
          <w:rFonts w:eastAsia="方正楷体简体"/>
          <w:b/>
          <w:color w:val="000000"/>
          <w:sz w:val="32"/>
          <w:szCs w:val="32"/>
        </w:rPr>
      </w:pPr>
    </w:p>
    <w:p w14:paraId="61EF037F">
      <w:pPr>
        <w:pStyle w:val="2"/>
        <w:keepNext w:val="0"/>
        <w:keepLines w:val="0"/>
        <w:pageBreakBefore w:val="0"/>
        <w:widowControl w:val="0"/>
        <w:kinsoku/>
        <w:wordWrap/>
        <w:overflowPunct/>
        <w:topLinePunct w:val="0"/>
        <w:autoSpaceDE/>
        <w:autoSpaceDN/>
        <w:bidi w:val="0"/>
        <w:adjustRightInd/>
        <w:snapToGrid/>
        <w:spacing w:after="157" w:afterLines="50" w:line="580" w:lineRule="exact"/>
        <w:ind w:firstLine="643"/>
        <w:textAlignment w:val="auto"/>
        <w:rPr>
          <w:rFonts w:eastAsia="方正楷体简体"/>
          <w:b/>
          <w:color w:val="000000"/>
          <w:sz w:val="32"/>
          <w:szCs w:val="32"/>
        </w:rPr>
      </w:pPr>
    </w:p>
    <w:p w14:paraId="2080A051">
      <w:pPr>
        <w:pStyle w:val="2"/>
        <w:keepNext w:val="0"/>
        <w:keepLines w:val="0"/>
        <w:pageBreakBefore w:val="0"/>
        <w:widowControl w:val="0"/>
        <w:kinsoku/>
        <w:wordWrap/>
        <w:overflowPunct/>
        <w:topLinePunct w:val="0"/>
        <w:autoSpaceDE/>
        <w:autoSpaceDN/>
        <w:bidi w:val="0"/>
        <w:adjustRightInd/>
        <w:snapToGrid/>
        <w:spacing w:after="157" w:afterLines="50" w:line="580" w:lineRule="exact"/>
        <w:ind w:firstLine="643"/>
        <w:textAlignment w:val="auto"/>
        <w:rPr>
          <w:rFonts w:eastAsia="方正楷体简体"/>
          <w:b/>
          <w:color w:val="000000"/>
          <w:sz w:val="32"/>
          <w:szCs w:val="32"/>
        </w:rPr>
      </w:pPr>
    </w:p>
    <w:p w14:paraId="275063A5">
      <w:pPr>
        <w:pStyle w:val="2"/>
        <w:keepNext w:val="0"/>
        <w:keepLines w:val="0"/>
        <w:pageBreakBefore w:val="0"/>
        <w:widowControl w:val="0"/>
        <w:kinsoku/>
        <w:wordWrap/>
        <w:overflowPunct/>
        <w:topLinePunct w:val="0"/>
        <w:autoSpaceDE/>
        <w:autoSpaceDN/>
        <w:bidi w:val="0"/>
        <w:adjustRightInd/>
        <w:snapToGrid/>
        <w:spacing w:after="157" w:afterLines="50" w:line="580" w:lineRule="exact"/>
        <w:ind w:firstLine="643"/>
        <w:textAlignment w:val="auto"/>
        <w:rPr>
          <w:rFonts w:eastAsia="方正楷体简体"/>
          <w:b/>
          <w:color w:val="000000"/>
          <w:sz w:val="32"/>
          <w:szCs w:val="32"/>
        </w:rPr>
      </w:pPr>
    </w:p>
    <w:p w14:paraId="1736835B">
      <w:pPr>
        <w:pStyle w:val="2"/>
        <w:keepNext w:val="0"/>
        <w:keepLines w:val="0"/>
        <w:pageBreakBefore w:val="0"/>
        <w:widowControl w:val="0"/>
        <w:kinsoku/>
        <w:wordWrap/>
        <w:overflowPunct/>
        <w:topLinePunct w:val="0"/>
        <w:autoSpaceDE/>
        <w:autoSpaceDN/>
        <w:bidi w:val="0"/>
        <w:adjustRightInd/>
        <w:snapToGrid/>
        <w:spacing w:after="157" w:afterLines="50" w:line="580" w:lineRule="exact"/>
        <w:ind w:firstLine="643"/>
        <w:textAlignment w:val="auto"/>
        <w:rPr>
          <w:rFonts w:eastAsia="方正楷体简体"/>
          <w:b/>
          <w:color w:val="000000"/>
          <w:sz w:val="32"/>
          <w:szCs w:val="32"/>
        </w:rPr>
      </w:pPr>
    </w:p>
    <w:p w14:paraId="2501262C">
      <w:pPr>
        <w:pStyle w:val="2"/>
        <w:keepNext w:val="0"/>
        <w:keepLines w:val="0"/>
        <w:pageBreakBefore w:val="0"/>
        <w:widowControl w:val="0"/>
        <w:kinsoku/>
        <w:wordWrap/>
        <w:overflowPunct/>
        <w:topLinePunct w:val="0"/>
        <w:autoSpaceDE/>
        <w:autoSpaceDN/>
        <w:bidi w:val="0"/>
        <w:adjustRightInd/>
        <w:snapToGrid/>
        <w:spacing w:after="157" w:afterLines="50" w:line="580" w:lineRule="exact"/>
        <w:ind w:firstLine="643"/>
        <w:textAlignment w:val="auto"/>
        <w:rPr>
          <w:rFonts w:eastAsia="方正楷体简体"/>
          <w:b/>
          <w:color w:val="000000"/>
          <w:sz w:val="32"/>
          <w:szCs w:val="32"/>
        </w:rPr>
      </w:pPr>
    </w:p>
    <w:p w14:paraId="2E5F7D45">
      <w:pPr>
        <w:pStyle w:val="2"/>
        <w:keepNext w:val="0"/>
        <w:keepLines w:val="0"/>
        <w:pageBreakBefore w:val="0"/>
        <w:widowControl w:val="0"/>
        <w:kinsoku/>
        <w:wordWrap/>
        <w:overflowPunct/>
        <w:topLinePunct w:val="0"/>
        <w:autoSpaceDE/>
        <w:autoSpaceDN/>
        <w:bidi w:val="0"/>
        <w:adjustRightInd/>
        <w:snapToGrid/>
        <w:spacing w:after="157" w:afterLines="50" w:line="580" w:lineRule="exact"/>
        <w:ind w:firstLine="643"/>
        <w:textAlignment w:val="auto"/>
        <w:rPr>
          <w:rFonts w:eastAsia="方正楷体简体"/>
          <w:b/>
          <w:color w:val="000000"/>
          <w:sz w:val="32"/>
          <w:szCs w:val="32"/>
        </w:rPr>
      </w:pPr>
    </w:p>
    <w:p w14:paraId="0BDBD95C">
      <w:pPr>
        <w:pStyle w:val="2"/>
        <w:keepNext w:val="0"/>
        <w:keepLines w:val="0"/>
        <w:pageBreakBefore w:val="0"/>
        <w:widowControl w:val="0"/>
        <w:kinsoku/>
        <w:wordWrap/>
        <w:overflowPunct/>
        <w:topLinePunct w:val="0"/>
        <w:autoSpaceDE/>
        <w:autoSpaceDN/>
        <w:bidi w:val="0"/>
        <w:adjustRightInd/>
        <w:snapToGrid/>
        <w:spacing w:after="157" w:afterLines="50" w:line="580" w:lineRule="exact"/>
        <w:ind w:firstLine="643"/>
        <w:textAlignment w:val="auto"/>
        <w:rPr>
          <w:rFonts w:eastAsia="方正楷体简体"/>
          <w:b/>
          <w:color w:val="000000"/>
          <w:sz w:val="32"/>
          <w:szCs w:val="32"/>
        </w:rPr>
      </w:pPr>
    </w:p>
    <w:p w14:paraId="08320A05">
      <w:pPr>
        <w:pStyle w:val="2"/>
        <w:keepNext w:val="0"/>
        <w:keepLines w:val="0"/>
        <w:pageBreakBefore w:val="0"/>
        <w:widowControl w:val="0"/>
        <w:kinsoku/>
        <w:wordWrap/>
        <w:overflowPunct/>
        <w:topLinePunct w:val="0"/>
        <w:autoSpaceDE/>
        <w:autoSpaceDN/>
        <w:bidi w:val="0"/>
        <w:adjustRightInd/>
        <w:snapToGrid/>
        <w:spacing w:after="157" w:afterLines="50" w:line="580" w:lineRule="exact"/>
        <w:ind w:firstLine="643"/>
        <w:textAlignment w:val="auto"/>
        <w:rPr>
          <w:rFonts w:eastAsia="方正楷体简体"/>
          <w:b/>
          <w:color w:val="000000"/>
          <w:sz w:val="32"/>
          <w:szCs w:val="32"/>
        </w:rPr>
      </w:pPr>
    </w:p>
    <w:p w14:paraId="2EC23542">
      <w:pPr>
        <w:pStyle w:val="2"/>
        <w:keepNext w:val="0"/>
        <w:keepLines w:val="0"/>
        <w:pageBreakBefore w:val="0"/>
        <w:widowControl w:val="0"/>
        <w:kinsoku/>
        <w:wordWrap/>
        <w:overflowPunct/>
        <w:topLinePunct w:val="0"/>
        <w:autoSpaceDE/>
        <w:autoSpaceDN/>
        <w:bidi w:val="0"/>
        <w:adjustRightInd/>
        <w:snapToGrid/>
        <w:spacing w:after="157" w:afterLines="50" w:line="580" w:lineRule="exact"/>
        <w:ind w:firstLine="643"/>
        <w:textAlignment w:val="auto"/>
        <w:rPr>
          <w:rFonts w:eastAsia="方正楷体简体"/>
          <w:b/>
          <w:color w:val="000000"/>
          <w:sz w:val="32"/>
          <w:szCs w:val="32"/>
        </w:rPr>
      </w:pPr>
    </w:p>
    <w:p w14:paraId="33D2BBC1">
      <w:pPr>
        <w:pStyle w:val="2"/>
        <w:keepNext w:val="0"/>
        <w:keepLines w:val="0"/>
        <w:pageBreakBefore w:val="0"/>
        <w:widowControl w:val="0"/>
        <w:kinsoku/>
        <w:wordWrap/>
        <w:overflowPunct/>
        <w:topLinePunct w:val="0"/>
        <w:autoSpaceDE/>
        <w:autoSpaceDN/>
        <w:bidi w:val="0"/>
        <w:adjustRightInd/>
        <w:snapToGrid/>
        <w:spacing w:after="157" w:afterLines="50" w:line="580" w:lineRule="exact"/>
        <w:ind w:firstLine="643"/>
        <w:textAlignment w:val="auto"/>
        <w:rPr>
          <w:rFonts w:eastAsia="方正楷体简体"/>
          <w:b/>
          <w:color w:val="000000"/>
          <w:sz w:val="32"/>
          <w:szCs w:val="32"/>
        </w:rPr>
      </w:pPr>
    </w:p>
    <w:p w14:paraId="13A28323">
      <w:pPr>
        <w:pStyle w:val="2"/>
        <w:keepNext w:val="0"/>
        <w:keepLines w:val="0"/>
        <w:pageBreakBefore w:val="0"/>
        <w:widowControl w:val="0"/>
        <w:kinsoku/>
        <w:wordWrap/>
        <w:overflowPunct/>
        <w:topLinePunct w:val="0"/>
        <w:autoSpaceDE/>
        <w:autoSpaceDN/>
        <w:bidi w:val="0"/>
        <w:adjustRightInd/>
        <w:snapToGrid/>
        <w:spacing w:after="157" w:afterLines="50" w:line="580" w:lineRule="exact"/>
        <w:ind w:firstLine="643"/>
        <w:textAlignment w:val="auto"/>
        <w:rPr>
          <w:rFonts w:eastAsia="方正楷体简体"/>
          <w:b/>
          <w:color w:val="000000"/>
          <w:sz w:val="32"/>
          <w:szCs w:val="32"/>
        </w:rPr>
      </w:pPr>
    </w:p>
    <w:p w14:paraId="2171D3F3">
      <w:pPr>
        <w:pStyle w:val="2"/>
        <w:keepNext w:val="0"/>
        <w:keepLines w:val="0"/>
        <w:pageBreakBefore w:val="0"/>
        <w:widowControl w:val="0"/>
        <w:kinsoku/>
        <w:wordWrap/>
        <w:overflowPunct/>
        <w:topLinePunct w:val="0"/>
        <w:autoSpaceDE/>
        <w:autoSpaceDN/>
        <w:bidi w:val="0"/>
        <w:adjustRightInd/>
        <w:snapToGrid/>
        <w:spacing w:after="157" w:afterLines="50" w:line="580" w:lineRule="exact"/>
        <w:ind w:firstLine="643"/>
        <w:textAlignment w:val="auto"/>
        <w:rPr>
          <w:rFonts w:eastAsia="方正楷体简体"/>
          <w:b/>
          <w:color w:val="000000"/>
          <w:sz w:val="32"/>
          <w:szCs w:val="32"/>
        </w:rPr>
      </w:pPr>
    </w:p>
    <w:p w14:paraId="43AD06A3">
      <w:pPr>
        <w:pStyle w:val="2"/>
        <w:keepNext w:val="0"/>
        <w:keepLines w:val="0"/>
        <w:pageBreakBefore w:val="0"/>
        <w:widowControl w:val="0"/>
        <w:kinsoku/>
        <w:wordWrap/>
        <w:overflowPunct/>
        <w:topLinePunct w:val="0"/>
        <w:autoSpaceDE/>
        <w:autoSpaceDN/>
        <w:bidi w:val="0"/>
        <w:adjustRightInd/>
        <w:snapToGrid/>
        <w:spacing w:after="157" w:afterLines="50" w:line="580" w:lineRule="exact"/>
        <w:ind w:firstLine="643"/>
        <w:textAlignment w:val="auto"/>
        <w:rPr>
          <w:rFonts w:eastAsia="方正楷体简体"/>
          <w:b/>
          <w:color w:val="000000"/>
          <w:sz w:val="32"/>
          <w:szCs w:val="32"/>
        </w:rPr>
      </w:pPr>
    </w:p>
    <w:p w14:paraId="061C869B">
      <w:pPr>
        <w:pStyle w:val="2"/>
        <w:spacing w:line="580" w:lineRule="exact"/>
        <w:ind w:firstLine="643"/>
        <w:rPr>
          <w:rFonts w:eastAsia="方正楷体简体"/>
          <w:b/>
          <w:color w:val="000000"/>
          <w:sz w:val="32"/>
          <w:szCs w:val="32"/>
        </w:rPr>
      </w:pPr>
    </w:p>
    <w:p w14:paraId="1F611FBD">
      <w:pPr>
        <w:pStyle w:val="2"/>
        <w:spacing w:line="580" w:lineRule="exact"/>
        <w:ind w:firstLine="640"/>
        <w:rPr>
          <w:rFonts w:eastAsia="方正楷体简体"/>
          <w:b/>
          <w:color w:val="000000"/>
          <w:sz w:val="32"/>
          <w:szCs w:val="32"/>
        </w:rPr>
      </w:pPr>
    </w:p>
    <w:p w14:paraId="7D2B207B">
      <w:pPr>
        <w:keepNext w:val="0"/>
        <w:keepLines w:val="0"/>
        <w:pageBreakBefore w:val="0"/>
        <w:widowControl w:val="0"/>
        <w:kinsoku/>
        <w:wordWrap/>
        <w:overflowPunct/>
        <w:topLinePunct w:val="0"/>
        <w:autoSpaceDE/>
        <w:autoSpaceDN/>
        <w:bidi w:val="0"/>
        <w:adjustRightInd/>
        <w:snapToGrid w:val="0"/>
        <w:spacing w:line="600" w:lineRule="exact"/>
        <w:ind w:firstLine="320" w:firstLineChars="100"/>
        <w:textAlignment w:val="auto"/>
        <w:rPr>
          <w:rFonts w:ascii="Times New Roman" w:hAnsi="Times New Roman" w:eastAsia="方正仿宋简体"/>
          <w:b/>
          <w:color w:val="000000"/>
          <w:sz w:val="28"/>
          <w:szCs w:val="28"/>
          <w:lang w:bidi="ar"/>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57785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55pt;height:0pt;width:442.2pt;z-index:251659264;mso-width-relative:page;mso-height-relative:page;" filled="f" stroked="t" coordsize="21600,21600" o:gfxdata="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Ge/mtQAAAAEAQAADwAAAAAAAAABACAAAAAiAAAAZHJzL2Rvd25yZXYueG1sUEsBAhQAFAAA&#10;AAgAh07iQMx3LCLzAQAA5wMAAA4AAAAAAAAAAQAgAAAAIwEAAGRycy9lMm9Eb2MueG1sUEsFBgAA&#10;AAAGAAYAWQEAAIgFAAAAAA==&#10;">
                <v:fill on="f" focussize="0,0"/>
                <v:stroke weight="1.25pt" color="#000000" joinstyle="round"/>
                <v:imagedata o:title=""/>
                <o:lock v:ext="edit" aspectratio="f"/>
              </v:line>
            </w:pict>
          </mc:Fallback>
        </mc:AlternateContent>
      </w:r>
      <w:r>
        <w:rPr>
          <w:rFonts w:ascii="Times New Roman" w:hAnsi="Times New Roman" w:eastAsia="方正仿宋简体"/>
          <w:b/>
          <w:sz w:val="28"/>
          <w:szCs w:val="28"/>
          <w:lang w:bidi="ar"/>
        </w:rPr>
        <w:t>抄送：</w:t>
      </w:r>
      <w:r>
        <w:rPr>
          <w:rFonts w:ascii="Times New Roman" w:hAnsi="Times New Roman" w:eastAsia="方正仿宋简体"/>
          <w:b/>
          <w:spacing w:val="0"/>
          <w:sz w:val="28"/>
          <w:szCs w:val="28"/>
          <w:lang w:bidi="ar"/>
        </w:rPr>
        <w:t>市委各部门，市人大常委会办公室，市政协办公室，</w:t>
      </w:r>
      <w:r>
        <w:rPr>
          <w:rFonts w:ascii="Times New Roman" w:hAnsi="Times New Roman" w:eastAsia="方正仿宋简体"/>
          <w:b/>
          <w:color w:val="000000"/>
          <w:spacing w:val="0"/>
          <w:sz w:val="28"/>
          <w:szCs w:val="28"/>
          <w:lang w:bidi="ar"/>
        </w:rPr>
        <w:t>市监委</w:t>
      </w:r>
      <w:r>
        <w:rPr>
          <w:rFonts w:ascii="Times New Roman" w:hAnsi="Times New Roman" w:eastAsia="方正仿宋简体"/>
          <w:b/>
          <w:color w:val="000000"/>
          <w:sz w:val="28"/>
          <w:szCs w:val="28"/>
          <w:lang w:bidi="ar"/>
        </w:rPr>
        <w:t>，</w:t>
      </w:r>
    </w:p>
    <w:p w14:paraId="7F4D1320">
      <w:pPr>
        <w:snapToGrid w:val="0"/>
        <w:spacing w:line="600" w:lineRule="exact"/>
        <w:ind w:firstLine="1140" w:firstLineChars="400"/>
        <w:rPr>
          <w:rFonts w:ascii="Times New Roman" w:hAnsi="Times New Roman" w:eastAsia="方正仿宋简体"/>
          <w:b/>
          <w:sz w:val="28"/>
          <w:szCs w:val="28"/>
        </w:rPr>
      </w:pPr>
      <w:r>
        <w:rPr>
          <w:rFonts w:ascii="Times New Roman" w:hAnsi="Times New Roman" w:eastAsia="方正仿宋简体"/>
          <w:b/>
          <w:spacing w:val="2"/>
          <w:sz w:val="28"/>
          <w:szCs w:val="28"/>
          <w:lang w:bidi="ar"/>
        </w:rPr>
        <w:t>市</w:t>
      </w:r>
      <w:r>
        <w:rPr>
          <w:rFonts w:ascii="Times New Roman" w:hAnsi="Times New Roman" w:eastAsia="方正仿宋简体"/>
          <w:b/>
          <w:sz w:val="28"/>
          <w:szCs w:val="28"/>
          <w:lang w:bidi="ar"/>
        </w:rPr>
        <w:t>法院，市检察院，市人武部。</w:t>
      </w:r>
    </w:p>
    <w:p w14:paraId="5E0B6793">
      <w:pPr>
        <w:snapToGrid w:val="0"/>
        <w:spacing w:line="600" w:lineRule="exact"/>
        <w:ind w:firstLine="313" w:firstLineChars="98"/>
      </w:pPr>
      <w:r>
        <w:rPr>
          <w:sz w:val="32"/>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678180</wp:posOffset>
                </wp:positionV>
                <wp:extent cx="2019300" cy="847725"/>
                <wp:effectExtent l="0" t="0" r="0" b="9525"/>
                <wp:wrapNone/>
                <wp:docPr id="8" name="矩形 8"/>
                <wp:cNvGraphicFramePr/>
                <a:graphic xmlns:a="http://schemas.openxmlformats.org/drawingml/2006/main">
                  <a:graphicData uri="http://schemas.microsoft.com/office/word/2010/wordprocessingShape">
                    <wps:wsp>
                      <wps:cNvSpPr/>
                      <wps:spPr>
                        <a:xfrm>
                          <a:off x="829310" y="9424035"/>
                          <a:ext cx="2019300" cy="847725"/>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35pt;margin-top:53.4pt;height:66.75pt;width:159pt;z-index:251662336;v-text-anchor:middle;mso-width-relative:page;mso-height-relative:page;" fillcolor="#FFFFFF" filled="t" stroked="f" coordsize="21600,21600" o:gfxdata="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iNmHG1gAAAAsBAAAPAAAAAAAAAAEAIAAAACIAAABkcnMvZG93bnJldi54&#10;bWxQSwECFAAUAAAACACHTuJAcXZA3m4CAADNBAAADgAAAAAAAAABACAAAAAlAQAAZHJzL2Uyb0Rv&#10;Yy54bWxQSwUGAAAAAAYABgBZAQAABQYAAAAA&#10;">
                <v:fill on="t" focussize="0,0"/>
                <v:stroke on="f" weight="2pt"/>
                <v:imagedata o:title=""/>
                <o:lock v:ext="edit" aspectratio="f"/>
              </v:rect>
            </w:pict>
          </mc:Fallback>
        </mc:AlternateContent>
      </w:r>
      <w:r>
        <w:rPr>
          <w:rFonts w:ascii="Times New Roman" w:hAnsi="Times New Roman" w:eastAsia="方正仿宋简体"/>
          <w:b/>
          <w:sz w:val="28"/>
          <w:szCs w:val="28"/>
          <w:lang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57150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5pt;height:0pt;width:442.2pt;z-index:251660288;mso-width-relative:page;mso-height-relative:page;" filled="f" stroked="t" coordsize="21600,21600" o:gfxdata="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5iaPtMAAAAEAQAADwAAAAAAAAABACAAAAAiAAAAZHJzL2Rvd25yZXYueG1sUEsBAhQAFAAAAAgA&#10;h07iQOUozQDxAQAA5gMAAA4AAAAAAAAAAQAgAAAAIgEAAGRycy9lMm9Eb2MueG1sUEsFBgAAAAAG&#10;AAYAWQEAAIUFAAAAAA==&#10;">
                <v:fill on="f" focussize="0,0"/>
                <v:stroke color="#000000" joinstyle="round"/>
                <v:imagedata o:title=""/>
                <o:lock v:ext="edit" aspectratio="f"/>
              </v:line>
            </w:pict>
          </mc:Fallback>
        </mc:AlternateContent>
      </w:r>
      <w:r>
        <w:rPr>
          <w:rFonts w:ascii="Times New Roman" w:hAnsi="Times New Roman" w:eastAsia="方正仿宋简体"/>
          <w:b/>
          <w:sz w:val="28"/>
          <w:szCs w:val="28"/>
          <w:lang w:bidi="a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470535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7.05pt;height:0pt;width:442.2pt;z-index:251661312;mso-width-relative:page;mso-height-relative:page;" filled="f" stroked="t" coordsize="21600,21600" o:gfxdata="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Z8idvVAAAABgEAAA8AAAAAAAAAAQAgAAAAIgAAAGRycy9kb3ducmV2LnhtbFBLAQIUABQA&#10;AAAIAIdO4kAaZyN48wEAAOcDAAAOAAAAAAAAAAEAIAAAACQBAABkcnMvZTJvRG9jLnhtbFBLBQYA&#10;AAAABgAGAFkBAACJBQAAAAA=&#10;">
                <v:fill on="f" focussize="0,0"/>
                <v:stroke weight="1.25pt" color="#000000" joinstyle="round"/>
                <v:imagedata o:title=""/>
                <o:lock v:ext="edit" aspectratio="f"/>
              </v:line>
            </w:pict>
          </mc:Fallback>
        </mc:AlternateContent>
      </w:r>
      <w:r>
        <w:rPr>
          <w:rFonts w:ascii="Times New Roman" w:hAnsi="Times New Roman" w:eastAsia="方正仿宋简体"/>
          <w:b/>
          <w:sz w:val="28"/>
          <w:szCs w:val="28"/>
          <w:lang w:bidi="ar"/>
        </w:rPr>
        <w:t xml:space="preserve">曲阜市人民政府办公室             </w:t>
      </w:r>
      <w:r>
        <w:rPr>
          <w:rFonts w:hint="eastAsia" w:eastAsia="方正仿宋简体"/>
          <w:b/>
          <w:sz w:val="28"/>
          <w:szCs w:val="28"/>
          <w:lang w:val="en-US" w:eastAsia="zh-CN" w:bidi="ar"/>
        </w:rPr>
        <w:t xml:space="preserve">  </w:t>
      </w:r>
      <w:r>
        <w:rPr>
          <w:rFonts w:ascii="Times New Roman" w:hAnsi="Times New Roman" w:eastAsia="方正仿宋简体"/>
          <w:b/>
          <w:sz w:val="28"/>
          <w:szCs w:val="28"/>
          <w:lang w:bidi="ar"/>
        </w:rPr>
        <w:t xml:space="preserve">     2022年</w:t>
      </w:r>
      <w:r>
        <w:rPr>
          <w:rFonts w:hint="eastAsia" w:ascii="Times New Roman" w:hAnsi="Times New Roman" w:eastAsia="方正仿宋简体"/>
          <w:b/>
          <w:sz w:val="28"/>
          <w:szCs w:val="28"/>
          <w:lang w:val="en-US" w:eastAsia="zh-CN" w:bidi="ar"/>
        </w:rPr>
        <w:t>6</w:t>
      </w:r>
      <w:r>
        <w:rPr>
          <w:rFonts w:ascii="Times New Roman" w:hAnsi="Times New Roman" w:eastAsia="方正仿宋简体"/>
          <w:b/>
          <w:sz w:val="28"/>
          <w:szCs w:val="28"/>
          <w:lang w:bidi="ar"/>
        </w:rPr>
        <w:t>月</w:t>
      </w:r>
      <w:r>
        <w:rPr>
          <w:rFonts w:hint="eastAsia"/>
          <w:b/>
          <w:sz w:val="28"/>
          <w:szCs w:val="28"/>
          <w:lang w:val="en-US" w:eastAsia="zh-CN" w:bidi="ar"/>
        </w:rPr>
        <w:t>28</w:t>
      </w:r>
      <w:r>
        <w:rPr>
          <w:rFonts w:ascii="Times New Roman" w:hAnsi="Times New Roman" w:eastAsia="方正仿宋简体"/>
          <w:b/>
          <w:sz w:val="28"/>
          <w:szCs w:val="28"/>
          <w:lang w:bidi="ar"/>
        </w:rPr>
        <w:t>日印发</w:t>
      </w:r>
    </w:p>
    <w:sectPr>
      <w:footerReference r:id="rId3" w:type="default"/>
      <w:footerReference r:id="rId4" w:type="even"/>
      <w:pgSz w:w="11906" w:h="16838"/>
      <w:pgMar w:top="2154" w:right="1474" w:bottom="1871" w:left="1587" w:header="851" w:footer="136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BCDE37-5FE2-45D3-8FD1-CA6CC7C674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embedRegular r:id="rId2" w:fontKey="{013A8239-69DA-444F-A2A2-54080C3295A1}"/>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E561420C-E77D-4B87-AAD3-6EC497A8DCA8}"/>
  </w:font>
  <w:font w:name="方正黑体简体">
    <w:panose1 w:val="03000509000000000000"/>
    <w:charset w:val="86"/>
    <w:family w:val="auto"/>
    <w:pitch w:val="default"/>
    <w:sig w:usb0="00000001" w:usb1="080E0000" w:usb2="00000000" w:usb3="00000000" w:csb0="00040000" w:csb1="00000000"/>
    <w:embedRegular r:id="rId4" w:fontKey="{6C9AB878-0ED2-4669-96DA-6AA92B04DDC8}"/>
  </w:font>
  <w:font w:name="仿宋_GB2312">
    <w:panose1 w:val="02010609030101010101"/>
    <w:charset w:val="86"/>
    <w:family w:val="modern"/>
    <w:pitch w:val="default"/>
    <w:sig w:usb0="00000001" w:usb1="080E0000" w:usb2="00000000" w:usb3="00000000" w:csb0="00040000" w:csb1="00000000"/>
    <w:embedRegular r:id="rId5" w:fontKey="{F995CAAA-1975-48D3-AAA1-C90C9A101E8C}"/>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6D9C1">
    <w:pPr>
      <w:pStyle w:val="6"/>
      <w:ind w:right="348" w:firstLine="240" w:firstLineChars="100"/>
      <w:jc w:val="right"/>
    </w:pPr>
    <w:r>
      <w:rPr>
        <w:rFonts w:hint="eastAsia"/>
        <w:sz w:val="24"/>
      </w:rPr>
      <w:t xml:space="preserve">— </w:t>
    </w:r>
    <w:r>
      <w:rPr>
        <w:rFonts w:ascii="Times New Roman" w:hAnsi="Times New Roman" w:cs="Times New Roman"/>
        <w:sz w:val="28"/>
      </w:rPr>
      <w:fldChar w:fldCharType="begin"/>
    </w:r>
    <w:r>
      <w:rPr>
        <w:rFonts w:ascii="Times New Roman" w:hAnsi="Times New Roman" w:cs="Times New Roman"/>
        <w:sz w:val="28"/>
      </w:rPr>
      <w:instrText xml:space="preserve"> PAGE \* Arabic \* MERGEFORMAT </w:instrText>
    </w:r>
    <w:r>
      <w:rPr>
        <w:rFonts w:ascii="Times New Roman" w:hAnsi="Times New Roman" w:cs="Times New Roman"/>
        <w:sz w:val="28"/>
      </w:rPr>
      <w:fldChar w:fldCharType="separate"/>
    </w:r>
    <w:r>
      <w:rPr>
        <w:rFonts w:ascii="Times New Roman" w:hAnsi="Times New Roman" w:cs="Times New Roman"/>
        <w:sz w:val="28"/>
      </w:rPr>
      <w:t>11</w:t>
    </w:r>
    <w:r>
      <w:rPr>
        <w:rFonts w:ascii="Times New Roman" w:hAnsi="Times New Roman" w:cs="Times New Roman"/>
        <w:sz w:val="28"/>
      </w:rPr>
      <w:fldChar w:fldCharType="end"/>
    </w:r>
    <w:r>
      <w:rPr>
        <w:rFonts w:hint="eastAsia"/>
        <w:sz w:val="24"/>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7D936">
    <w:pPr>
      <w:pStyle w:val="6"/>
      <w:ind w:right="348" w:firstLine="240" w:firstLineChars="100"/>
      <w:jc w:val="both"/>
    </w:pPr>
    <w:r>
      <w:rPr>
        <w:rFonts w:hint="eastAsia"/>
        <w:sz w:val="24"/>
      </w:rPr>
      <w:t xml:space="preserve">— </w:t>
    </w:r>
    <w:r>
      <w:rPr>
        <w:rFonts w:ascii="Times New Roman" w:hAnsi="Times New Roman" w:cs="Times New Roman"/>
        <w:sz w:val="28"/>
      </w:rPr>
      <w:fldChar w:fldCharType="begin"/>
    </w:r>
    <w:r>
      <w:rPr>
        <w:rFonts w:ascii="Times New Roman" w:hAnsi="Times New Roman" w:cs="Times New Roman"/>
        <w:sz w:val="28"/>
      </w:rPr>
      <w:instrText xml:space="preserve"> PAGE \* Arabic \* MERGEFORMAT </w:instrText>
    </w:r>
    <w:r>
      <w:rPr>
        <w:rFonts w:ascii="Times New Roman" w:hAnsi="Times New Roman" w:cs="Times New Roman"/>
        <w:sz w:val="28"/>
      </w:rPr>
      <w:fldChar w:fldCharType="separate"/>
    </w:r>
    <w:r>
      <w:rPr>
        <w:rFonts w:ascii="Times New Roman" w:hAnsi="Times New Roman" w:cs="Times New Roman"/>
        <w:sz w:val="28"/>
      </w:rPr>
      <w:t>11</w:t>
    </w:r>
    <w:r>
      <w:rPr>
        <w:rFonts w:ascii="Times New Roman" w:hAnsi="Times New Roman" w:cs="Times New Roman"/>
        <w:sz w:val="28"/>
      </w:rPr>
      <w:fldChar w:fldCharType="end"/>
    </w:r>
    <w:r>
      <w:rPr>
        <w:rFonts w:hint="eastAsia"/>
        <w:sz w:val="24"/>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ZTg2ODU4MTg1YWMzNjM5MGFjZmU5ODVkZWJlOWIifQ=="/>
  </w:docVars>
  <w:rsids>
    <w:rsidRoot w:val="00BE35F9"/>
    <w:rsid w:val="0001473B"/>
    <w:rsid w:val="0004001D"/>
    <w:rsid w:val="000629BB"/>
    <w:rsid w:val="00062DAD"/>
    <w:rsid w:val="0009676F"/>
    <w:rsid w:val="000C26EB"/>
    <w:rsid w:val="000D6113"/>
    <w:rsid w:val="000E1709"/>
    <w:rsid w:val="000F1B62"/>
    <w:rsid w:val="00101A51"/>
    <w:rsid w:val="001021A2"/>
    <w:rsid w:val="00103F89"/>
    <w:rsid w:val="00131517"/>
    <w:rsid w:val="00155965"/>
    <w:rsid w:val="001672C4"/>
    <w:rsid w:val="00177646"/>
    <w:rsid w:val="00192E50"/>
    <w:rsid w:val="001A595B"/>
    <w:rsid w:val="001B1D22"/>
    <w:rsid w:val="001B2C16"/>
    <w:rsid w:val="001B3DEE"/>
    <w:rsid w:val="001D22A0"/>
    <w:rsid w:val="001F196F"/>
    <w:rsid w:val="001F24CF"/>
    <w:rsid w:val="002015A0"/>
    <w:rsid w:val="00204DAD"/>
    <w:rsid w:val="00217C9A"/>
    <w:rsid w:val="002304B4"/>
    <w:rsid w:val="00261A98"/>
    <w:rsid w:val="002B0446"/>
    <w:rsid w:val="002C2E5F"/>
    <w:rsid w:val="002D3400"/>
    <w:rsid w:val="002D5C90"/>
    <w:rsid w:val="00356021"/>
    <w:rsid w:val="0036298B"/>
    <w:rsid w:val="0039178C"/>
    <w:rsid w:val="003970B5"/>
    <w:rsid w:val="00404075"/>
    <w:rsid w:val="00437DAC"/>
    <w:rsid w:val="0046299B"/>
    <w:rsid w:val="00472F8C"/>
    <w:rsid w:val="00482F1C"/>
    <w:rsid w:val="0049183F"/>
    <w:rsid w:val="004B4931"/>
    <w:rsid w:val="004B5796"/>
    <w:rsid w:val="004C5509"/>
    <w:rsid w:val="004C60A0"/>
    <w:rsid w:val="004C7E8B"/>
    <w:rsid w:val="004E7556"/>
    <w:rsid w:val="004F0319"/>
    <w:rsid w:val="004F6517"/>
    <w:rsid w:val="00503248"/>
    <w:rsid w:val="0053090C"/>
    <w:rsid w:val="0053453B"/>
    <w:rsid w:val="005443C6"/>
    <w:rsid w:val="00562415"/>
    <w:rsid w:val="005732A3"/>
    <w:rsid w:val="00585653"/>
    <w:rsid w:val="005A062A"/>
    <w:rsid w:val="005B79F2"/>
    <w:rsid w:val="005C5171"/>
    <w:rsid w:val="005D4712"/>
    <w:rsid w:val="005F1542"/>
    <w:rsid w:val="005F5B99"/>
    <w:rsid w:val="005F5E2C"/>
    <w:rsid w:val="0061006B"/>
    <w:rsid w:val="00615EC0"/>
    <w:rsid w:val="006402F3"/>
    <w:rsid w:val="00662973"/>
    <w:rsid w:val="006639AD"/>
    <w:rsid w:val="00666BB8"/>
    <w:rsid w:val="00673341"/>
    <w:rsid w:val="0067427B"/>
    <w:rsid w:val="0068655B"/>
    <w:rsid w:val="006A5A05"/>
    <w:rsid w:val="006B1727"/>
    <w:rsid w:val="006B6D3F"/>
    <w:rsid w:val="006C0E04"/>
    <w:rsid w:val="006D1B9C"/>
    <w:rsid w:val="006E12A9"/>
    <w:rsid w:val="006F1124"/>
    <w:rsid w:val="006F207C"/>
    <w:rsid w:val="00701527"/>
    <w:rsid w:val="0075047B"/>
    <w:rsid w:val="0078217A"/>
    <w:rsid w:val="00783455"/>
    <w:rsid w:val="007C7D09"/>
    <w:rsid w:val="008003E8"/>
    <w:rsid w:val="00822E91"/>
    <w:rsid w:val="00860C53"/>
    <w:rsid w:val="00871667"/>
    <w:rsid w:val="0087262A"/>
    <w:rsid w:val="008B76CA"/>
    <w:rsid w:val="008D185E"/>
    <w:rsid w:val="008F2496"/>
    <w:rsid w:val="008F2CF3"/>
    <w:rsid w:val="008F4625"/>
    <w:rsid w:val="009142EA"/>
    <w:rsid w:val="00956A29"/>
    <w:rsid w:val="009622CF"/>
    <w:rsid w:val="009642D8"/>
    <w:rsid w:val="009804A7"/>
    <w:rsid w:val="009C6267"/>
    <w:rsid w:val="009D6A59"/>
    <w:rsid w:val="00A31FE4"/>
    <w:rsid w:val="00A4649F"/>
    <w:rsid w:val="00A62FE5"/>
    <w:rsid w:val="00A660AF"/>
    <w:rsid w:val="00A71BC0"/>
    <w:rsid w:val="00A97EFC"/>
    <w:rsid w:val="00AC3CA1"/>
    <w:rsid w:val="00AD4E62"/>
    <w:rsid w:val="00B20F7D"/>
    <w:rsid w:val="00B325C6"/>
    <w:rsid w:val="00B65ACE"/>
    <w:rsid w:val="00BB4932"/>
    <w:rsid w:val="00BE35F9"/>
    <w:rsid w:val="00BE6149"/>
    <w:rsid w:val="00BE7C81"/>
    <w:rsid w:val="00C22807"/>
    <w:rsid w:val="00C2754B"/>
    <w:rsid w:val="00C27A31"/>
    <w:rsid w:val="00C31BB1"/>
    <w:rsid w:val="00C33AB5"/>
    <w:rsid w:val="00C35EDE"/>
    <w:rsid w:val="00C37696"/>
    <w:rsid w:val="00C972BB"/>
    <w:rsid w:val="00CB26F0"/>
    <w:rsid w:val="00D16F54"/>
    <w:rsid w:val="00D201AC"/>
    <w:rsid w:val="00D2231A"/>
    <w:rsid w:val="00D56F5F"/>
    <w:rsid w:val="00D668ED"/>
    <w:rsid w:val="00D76393"/>
    <w:rsid w:val="00DB3735"/>
    <w:rsid w:val="00DC15A6"/>
    <w:rsid w:val="00DF129D"/>
    <w:rsid w:val="00E12C1C"/>
    <w:rsid w:val="00E1773E"/>
    <w:rsid w:val="00E271C3"/>
    <w:rsid w:val="00E448A0"/>
    <w:rsid w:val="00EA0ECF"/>
    <w:rsid w:val="00EA1270"/>
    <w:rsid w:val="00ED1220"/>
    <w:rsid w:val="00ED7B61"/>
    <w:rsid w:val="00EF1D63"/>
    <w:rsid w:val="00F07F93"/>
    <w:rsid w:val="00F41CB5"/>
    <w:rsid w:val="00F91294"/>
    <w:rsid w:val="00F91C33"/>
    <w:rsid w:val="00F973CD"/>
    <w:rsid w:val="00FA0200"/>
    <w:rsid w:val="00FC3A34"/>
    <w:rsid w:val="00FC4A29"/>
    <w:rsid w:val="00FC7E12"/>
    <w:rsid w:val="00FE1029"/>
    <w:rsid w:val="00FE585C"/>
    <w:rsid w:val="096A690F"/>
    <w:rsid w:val="0E9C331A"/>
    <w:rsid w:val="154A421F"/>
    <w:rsid w:val="1C647130"/>
    <w:rsid w:val="1C845550"/>
    <w:rsid w:val="27C66EEF"/>
    <w:rsid w:val="29083D12"/>
    <w:rsid w:val="29A04E65"/>
    <w:rsid w:val="35352E7D"/>
    <w:rsid w:val="43851BE6"/>
    <w:rsid w:val="584B428E"/>
    <w:rsid w:val="5CBD73E2"/>
    <w:rsid w:val="6C2B055A"/>
    <w:rsid w:val="6CBB7768"/>
    <w:rsid w:val="706B5CC1"/>
    <w:rsid w:val="7B6D7CC4"/>
    <w:rsid w:val="7B8773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99"/>
    <w:pPr>
      <w:widowControl w:val="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3">
    <w:name w:val="正文文本缩进1"/>
    <w:basedOn w:val="1"/>
    <w:qFormat/>
    <w:uiPriority w:val="99"/>
    <w:pPr>
      <w:ind w:left="420" w:leftChars="200"/>
    </w:pPr>
  </w:style>
  <w:style w:type="paragraph" w:styleId="4">
    <w:name w:val="annotation text"/>
    <w:basedOn w:val="1"/>
    <w:semiHidden/>
    <w:unhideWhenUsed/>
    <w:qFormat/>
    <w:uiPriority w:val="99"/>
    <w:pPr>
      <w:jc w:val="left"/>
    </w:pPr>
  </w:style>
  <w:style w:type="paragraph" w:styleId="5">
    <w:name w:val="Balloon Text"/>
    <w:basedOn w:val="1"/>
    <w:link w:val="14"/>
    <w:semiHidden/>
    <w:unhideWhenUsed/>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character" w:styleId="11">
    <w:name w:val="page number"/>
    <w:qFormat/>
    <w:uiPriority w:val="99"/>
    <w:rPr>
      <w:rFonts w:cs="Times New Roman"/>
    </w:rPr>
  </w:style>
  <w:style w:type="character" w:customStyle="1" w:styleId="12">
    <w:name w:val="页脚 Char"/>
    <w:link w:val="6"/>
    <w:semiHidden/>
    <w:qFormat/>
    <w:locked/>
    <w:uiPriority w:val="99"/>
    <w:rPr>
      <w:rFonts w:ascii="Times New Roman" w:hAnsi="Times New Roman" w:eastAsia="方正仿宋简体" w:cs="Times New Roman"/>
      <w:sz w:val="18"/>
      <w:szCs w:val="18"/>
    </w:rPr>
  </w:style>
  <w:style w:type="character" w:customStyle="1" w:styleId="13">
    <w:name w:val="页眉 Char"/>
    <w:link w:val="7"/>
    <w:semiHidden/>
    <w:qFormat/>
    <w:locked/>
    <w:uiPriority w:val="99"/>
    <w:rPr>
      <w:rFonts w:ascii="Times New Roman" w:hAnsi="Times New Roman" w:eastAsia="方正仿宋简体" w:cs="Times New Roman"/>
      <w:sz w:val="18"/>
      <w:szCs w:val="18"/>
    </w:rPr>
  </w:style>
  <w:style w:type="character" w:customStyle="1" w:styleId="14">
    <w:name w:val="批注框文本 Char"/>
    <w:basedOn w:val="10"/>
    <w:link w:val="5"/>
    <w:semiHidden/>
    <w:qFormat/>
    <w:uiPriority w:val="99"/>
    <w:rPr>
      <w:rFonts w:ascii="Times New Roman" w:hAnsi="Times New Roman" w:eastAsia="方正仿宋简体"/>
      <w:kern w:val="2"/>
      <w:sz w:val="18"/>
      <w:szCs w:val="18"/>
    </w:rPr>
  </w:style>
  <w:style w:type="paragraph" w:customStyle="1" w:styleId="15">
    <w:name w:val="Heading3"/>
    <w:basedOn w:val="1"/>
    <w:next w:val="1"/>
    <w:qFormat/>
    <w:uiPriority w:val="0"/>
    <w:pPr>
      <w:keepNext/>
      <w:keepLines/>
      <w:spacing w:before="260" w:after="260" w:line="416" w:lineRule="auto"/>
      <w:jc w:val="both"/>
      <w:textAlignment w:val="baseline"/>
    </w:pPr>
    <w:rPr>
      <w:rFonts w:ascii="Times New Roman"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5F3C9-C61B-41F8-896E-564A108A87C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3556</Words>
  <Characters>3597</Characters>
  <Lines>25</Lines>
  <Paragraphs>7</Paragraphs>
  <TotalTime>7</TotalTime>
  <ScaleCrop>false</ScaleCrop>
  <LinksUpToDate>false</LinksUpToDate>
  <CharactersWithSpaces>3745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2022-02-22T02:57:00Z</dcterms:created>
  <dc:creator>Administrator</dc:creator>
  <cp:lastModifiedBy>Jade</cp:lastModifiedBy>
  <cp:lastPrinted>2022-06-28T09:43:00Z</cp:lastPrinted>
  <dcterms:modified xsi:type="dcterms:W3CDTF">2025-06-17T08:58:40Z</dcterms:modified>
  <dc:title>曲阜市公共投资建设项目审计监督</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6510EC102BA44D4CA6FE79E62FD0AAD3</vt:lpwstr>
  </property>
  <property fmtid="{D5CDD505-2E9C-101B-9397-08002B2CF9AE}" pid="4" name="KSOTemplateDocerSaveRecord">
    <vt:lpwstr>eyJoZGlkIjoiNWU2NzIyYzg3MTYzZTFlY2VkNzY3YWNlMDIwMDVkNjgiLCJ1c2VySWQiOiIyNTIzNjc5NjEifQ==</vt:lpwstr>
  </property>
</Properties>
</file>