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曲自然资发【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2020】12号 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签发人：姜玉彬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曲阜市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“问政山东”举一反三暨砂石资源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综合整治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切实吸取“问政山东”曝光问题教训，确保做到举一反三，全面</w:t>
      </w:r>
      <w:r>
        <w:rPr>
          <w:rFonts w:hint="eastAsia" w:ascii="仿宋" w:hAnsi="仿宋" w:eastAsia="仿宋" w:cs="仿宋"/>
          <w:sz w:val="32"/>
          <w:szCs w:val="32"/>
        </w:rPr>
        <w:t>加强全市砂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</w:t>
      </w:r>
      <w:r>
        <w:rPr>
          <w:rFonts w:hint="eastAsia" w:ascii="仿宋" w:hAnsi="仿宋" w:eastAsia="仿宋" w:cs="仿宋"/>
          <w:sz w:val="32"/>
          <w:szCs w:val="32"/>
        </w:rPr>
        <w:t>资源管理，严厉打击破坏土地生态环境、损群众利益的非法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开采、加工等</w:t>
      </w:r>
      <w:r>
        <w:rPr>
          <w:rFonts w:hint="eastAsia" w:ascii="仿宋" w:hAnsi="仿宋" w:eastAsia="仿宋" w:cs="仿宋"/>
          <w:sz w:val="32"/>
          <w:szCs w:val="32"/>
        </w:rPr>
        <w:t>行为，切实保护耕地和矿产资源，依据《中华人民共和国土地管理法》、《中华人民共和国矿产资源法》及相关法律法规，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经局党组研究</w:t>
      </w:r>
      <w:r>
        <w:rPr>
          <w:rFonts w:hint="eastAsia" w:ascii="仿宋" w:hAnsi="仿宋" w:eastAsia="仿宋" w:cs="仿宋"/>
          <w:sz w:val="32"/>
          <w:szCs w:val="32"/>
        </w:rPr>
        <w:t>决定，对非法开采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、加工、</w:t>
      </w:r>
      <w:r>
        <w:rPr>
          <w:rFonts w:hint="eastAsia" w:ascii="仿宋" w:hAnsi="仿宋" w:eastAsia="仿宋" w:cs="仿宋"/>
          <w:sz w:val="32"/>
          <w:szCs w:val="32"/>
        </w:rPr>
        <w:t>运输经营砂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</w:t>
      </w:r>
      <w:r>
        <w:rPr>
          <w:rFonts w:hint="eastAsia" w:ascii="仿宋" w:hAnsi="仿宋" w:eastAsia="仿宋" w:cs="仿宋"/>
          <w:sz w:val="32"/>
          <w:szCs w:val="32"/>
        </w:rPr>
        <w:t>资源的行为进行专项整治，为确保行动扎实有效，特制定本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按照“全面检查、突出重点、严格监管、彻底清理”的总体要求，集中时间、集中力量、重拳出击、齐抓共管，全面摸清全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砂石现状，严厉打击河道采砂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，破坏耕地采砂及占用农用地加工、存放砂石资源</w:t>
      </w:r>
      <w:r>
        <w:rPr>
          <w:rFonts w:hint="eastAsia" w:ascii="仿宋" w:hAnsi="仿宋" w:eastAsia="仿宋" w:cs="仿宋"/>
          <w:sz w:val="32"/>
          <w:szCs w:val="32"/>
        </w:rPr>
        <w:t>等违法行为，实现违法开采行为全部被取缔、违法责任人被依法查处、环境破坏得到治理，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逐步建立砂石资源管理的长效机制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依法严厉打击在全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河道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、水库内</w:t>
      </w:r>
      <w:r>
        <w:rPr>
          <w:rFonts w:hint="eastAsia" w:ascii="仿宋" w:hAnsi="仿宋" w:eastAsia="仿宋" w:cs="仿宋"/>
          <w:sz w:val="32"/>
          <w:szCs w:val="32"/>
        </w:rPr>
        <w:t>的非法采砂行为，全力保护防洪安全；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依法严厉打击非法买卖、出租、占用土地等违法用地行为，严厉打击在耕地、林地等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破坏</w:t>
      </w:r>
      <w:r>
        <w:rPr>
          <w:rFonts w:hint="eastAsia" w:ascii="仿宋" w:hAnsi="仿宋" w:eastAsia="仿宋" w:cs="仿宋"/>
          <w:sz w:val="32"/>
          <w:szCs w:val="32"/>
        </w:rPr>
        <w:t>农用地的非法采砂行为；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依法严厉打击非法砂石加工场和砂石转运场以及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借各类项目名义行盗采盗挖之实的违法违规行为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严查超载超限运输砂石车辆，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对掌握和群众举报的</w:t>
      </w:r>
      <w:r>
        <w:rPr>
          <w:rFonts w:hint="eastAsia" w:ascii="仿宋" w:hAnsi="仿宋" w:eastAsia="仿宋" w:cs="仿宋"/>
          <w:sz w:val="32"/>
          <w:szCs w:val="32"/>
        </w:rPr>
        <w:t>各类非法采砂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采石</w:t>
      </w:r>
      <w:r>
        <w:rPr>
          <w:rFonts w:hint="eastAsia" w:ascii="仿宋" w:hAnsi="仿宋" w:eastAsia="仿宋" w:cs="仿宋"/>
          <w:sz w:val="32"/>
          <w:szCs w:val="32"/>
        </w:rPr>
        <w:t>违法犯罪案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件和线索，</w:t>
      </w:r>
      <w:r>
        <w:rPr>
          <w:rFonts w:hint="eastAsia" w:ascii="仿宋" w:hAnsi="仿宋" w:eastAsia="仿宋" w:cs="仿宋"/>
          <w:sz w:val="32"/>
          <w:szCs w:val="32"/>
        </w:rPr>
        <w:t>坚决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移交公安机关处理</w:t>
      </w:r>
      <w:r>
        <w:rPr>
          <w:rFonts w:hint="eastAsia" w:ascii="仿宋" w:hAnsi="仿宋" w:eastAsia="仿宋" w:cs="仿宋"/>
          <w:sz w:val="32"/>
          <w:szCs w:val="32"/>
        </w:rPr>
        <w:t>，有力震慑违法犯罪分子的嚣张气焰；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（五）对已破坏的历史遗留砂坑进行生态修复治理。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步骤及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（一）宣传发动，全面开展拉网式大排查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2020年5月29日--6月15日）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砂石综合治理专项行动领导小组，抽调人员组成专门工作班子，明确分工、加强领导，部署打击非法采砂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采石</w:t>
      </w:r>
      <w:r>
        <w:rPr>
          <w:rFonts w:hint="eastAsia" w:ascii="仿宋" w:hAnsi="仿宋" w:eastAsia="仿宋" w:cs="仿宋"/>
          <w:sz w:val="32"/>
          <w:szCs w:val="32"/>
        </w:rPr>
        <w:t>工作任务。制定砂石综合治理专项行动实施方案，明确任务目标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出动宣传车辆、发放明白纸、悬挂宣传条幅等形式，营造打击非法采砂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采石</w:t>
      </w:r>
      <w:r>
        <w:rPr>
          <w:rFonts w:hint="eastAsia" w:ascii="仿宋" w:hAnsi="仿宋" w:eastAsia="仿宋" w:cs="仿宋"/>
          <w:sz w:val="32"/>
          <w:szCs w:val="32"/>
        </w:rPr>
        <w:t>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开展摸底排查。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一是由各分局（中心所）配合镇街，</w:t>
      </w:r>
      <w:r>
        <w:rPr>
          <w:rFonts w:hint="eastAsia" w:ascii="仿宋" w:hAnsi="仿宋" w:eastAsia="仿宋" w:cs="仿宋"/>
          <w:sz w:val="32"/>
          <w:szCs w:val="32"/>
        </w:rPr>
        <w:t>对全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的采砂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、采石</w:t>
      </w:r>
      <w:r>
        <w:rPr>
          <w:rFonts w:hint="eastAsia" w:ascii="仿宋" w:hAnsi="仿宋" w:eastAsia="仿宋" w:cs="仿宋"/>
          <w:sz w:val="32"/>
          <w:szCs w:val="32"/>
        </w:rPr>
        <w:t>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砂石存放、加工</w:t>
      </w:r>
      <w:r>
        <w:rPr>
          <w:rFonts w:hint="eastAsia" w:ascii="仿宋" w:hAnsi="仿宋" w:eastAsia="仿宋" w:cs="仿宋"/>
          <w:sz w:val="32"/>
          <w:szCs w:val="32"/>
        </w:rPr>
        <w:t>点进行调查摸底、逐一排查，摸清数量、位置、种类、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当事</w:t>
      </w:r>
      <w:r>
        <w:rPr>
          <w:rFonts w:hint="eastAsia" w:ascii="仿宋" w:hAnsi="仿宋" w:eastAsia="仿宋" w:cs="仿宋"/>
          <w:sz w:val="32"/>
          <w:szCs w:val="32"/>
        </w:rPr>
        <w:t>人以及现状等情况，逐一进行登记造册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挂账销号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二是由各分局（中心所）对济宁市提取疑似图斑逐个进行现场核查，拍照取证，集中研究整改措施。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（二）集中清理，全面取缔非法采砂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采石</w:t>
      </w:r>
      <w:r>
        <w:rPr>
          <w:rFonts w:hint="eastAsia" w:ascii="楷体" w:hAnsi="楷体" w:eastAsia="楷体" w:cs="楷体"/>
          <w:sz w:val="32"/>
          <w:szCs w:val="32"/>
        </w:rPr>
        <w:t>场和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砂石加工、存放</w:t>
      </w:r>
      <w:r>
        <w:rPr>
          <w:rFonts w:hint="eastAsia" w:ascii="楷体" w:hAnsi="楷体" w:eastAsia="楷体" w:cs="楷体"/>
          <w:sz w:val="32"/>
          <w:szCs w:val="32"/>
        </w:rPr>
        <w:t>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2020年6月16日--6月30日）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坚决确保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“问政山东”曝光</w:t>
      </w:r>
      <w:r>
        <w:rPr>
          <w:rFonts w:hint="eastAsia" w:ascii="仿宋" w:hAnsi="仿宋" w:eastAsia="仿宋" w:cs="仿宋"/>
          <w:sz w:val="32"/>
          <w:szCs w:val="32"/>
        </w:rPr>
        <w:t>问题整改到位。对节目中曝光、实地排查发现的问题，坚持一抓到底、全程负责，问题不解决不松手，整改不到位不收兵，确保整改落实见底到位。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结合市政府专项清理行动，名镇街</w:t>
      </w:r>
      <w:r>
        <w:rPr>
          <w:rFonts w:hint="eastAsia" w:ascii="仿宋" w:hAnsi="仿宋" w:eastAsia="仿宋" w:cs="仿宋"/>
          <w:sz w:val="32"/>
          <w:szCs w:val="32"/>
        </w:rPr>
        <w:t>负责对本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所有采砂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采石</w:t>
      </w:r>
      <w:r>
        <w:rPr>
          <w:rFonts w:hint="eastAsia" w:ascii="仿宋" w:hAnsi="仿宋" w:eastAsia="仿宋" w:cs="仿宋"/>
          <w:sz w:val="32"/>
          <w:szCs w:val="32"/>
        </w:rPr>
        <w:t>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砂石加工、存放</w:t>
      </w:r>
      <w:r>
        <w:rPr>
          <w:rFonts w:hint="eastAsia" w:ascii="仿宋" w:hAnsi="仿宋" w:eastAsia="仿宋" w:cs="仿宋"/>
          <w:sz w:val="32"/>
          <w:szCs w:val="32"/>
        </w:rPr>
        <w:t>点开展自查，依法进行清理、取缔和查处，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整改完成的由镇街党政主要负责人、自然资源中心所负责人签字上报局执法监察大队，汇总后报市政府督察室及市委市政府主要领导和分管领导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对所有砂石存放点进行集中封存，</w:t>
      </w:r>
      <w:r>
        <w:rPr>
          <w:rFonts w:hint="eastAsia" w:ascii="仿宋" w:hAnsi="仿宋" w:eastAsia="仿宋" w:cs="仿宋"/>
          <w:sz w:val="32"/>
          <w:szCs w:val="32"/>
        </w:rPr>
        <w:t>在未经相关主管部门核实其砂石来源和性质前，任何人不得擅自清运、转移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，对无法提供合法来源的砂石资源一律予以没收；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对占用农用地非法加工的限期拆除设备，对硬化地面进行复耕，恢复农业用途；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对因采挖造成农用地破坏的按照属地管理的原则，由所在村居进行恢复治理；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加大巡查打击力度。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持续实行夜间值班</w:t>
      </w:r>
      <w:r>
        <w:rPr>
          <w:rFonts w:hint="eastAsia" w:ascii="仿宋" w:hAnsi="仿宋" w:eastAsia="仿宋" w:cs="仿宋"/>
          <w:sz w:val="32"/>
          <w:szCs w:val="32"/>
        </w:rPr>
        <w:t>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查制度，</w:t>
      </w:r>
      <w:r>
        <w:rPr>
          <w:rFonts w:hint="eastAsia" w:ascii="仿宋" w:hAnsi="仿宋" w:eastAsia="仿宋" w:cs="仿宋"/>
          <w:sz w:val="32"/>
          <w:szCs w:val="32"/>
        </w:rPr>
        <w:t>采取全天监控和突击巡查相结合的方式，坚持昼夜巡查，发现一起、查处一起，坚决遏制非法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盗采</w:t>
      </w:r>
      <w:r>
        <w:rPr>
          <w:rFonts w:hint="eastAsia" w:ascii="仿宋" w:hAnsi="仿宋" w:eastAsia="仿宋" w:cs="仿宋"/>
          <w:sz w:val="32"/>
          <w:szCs w:val="32"/>
        </w:rPr>
        <w:t>势头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域道路内运输砂石、超载超限车辆会同交通、公安部门依法查处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，查实矿产品来源，无合法来源的予以没收。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整改巩固阶段。（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2020年7月1日--7月31日）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配合市政府督察室对各镇街上报整改情况进行逐宗核实，发现瞒报、漏报或发现新增违法的，一律提请市纪委监委进行问责，确保整改效果；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2、各自然资源中心所负责人向局党组作书面承诺，保证辖区内非法开采、加工、存放点全部整改到位，不存在其他违法行为；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严惩非法当事人。组织人员深入到涉及违法采砂的村组和农户走访，进行全面详实的调查了解，对涉及到的人要一个不漏，逐一排查、逐一询问。在情况核实的基础上，会同县有关部门按照法律程序，依法对当事人进行惩处。涉嫌犯罪的，依法移送司法机关追究其刑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终止非法承包合同。对村集体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村民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私自</w:t>
      </w:r>
      <w:r>
        <w:rPr>
          <w:rFonts w:hint="eastAsia" w:ascii="仿宋" w:hAnsi="仿宋" w:eastAsia="仿宋" w:cs="仿宋"/>
          <w:sz w:val="32"/>
          <w:szCs w:val="32"/>
        </w:rPr>
        <w:t>签订土地承包合同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造成非法开采、加工、存放事实的，</w:t>
      </w:r>
      <w:r>
        <w:rPr>
          <w:rFonts w:hint="eastAsia" w:ascii="仿宋" w:hAnsi="仿宋" w:eastAsia="仿宋" w:cs="仿宋"/>
          <w:sz w:val="32"/>
          <w:szCs w:val="32"/>
        </w:rPr>
        <w:t>通过法律程序依法终止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其签订的</w:t>
      </w:r>
      <w:r>
        <w:rPr>
          <w:rFonts w:hint="eastAsia" w:ascii="仿宋" w:hAnsi="仿宋" w:eastAsia="仿宋" w:cs="仿宋"/>
          <w:sz w:val="32"/>
          <w:szCs w:val="32"/>
        </w:rPr>
        <w:t>非法合同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严肃责任追究。坚持重拳深挖，对发现的非法采砂涉黑、涉恶线索，一律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移交</w:t>
      </w:r>
      <w:r>
        <w:rPr>
          <w:rFonts w:hint="eastAsia" w:ascii="仿宋" w:hAnsi="仿宋" w:eastAsia="仿宋" w:cs="仿宋"/>
          <w:sz w:val="32"/>
          <w:szCs w:val="32"/>
        </w:rPr>
        <w:t>公安机关从重从快打击，坚决打击惩处到位。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（四）总结提升阶段，形成砂石资源监管长效机制。（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2020年8月1日--8月20日）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1、梳理专项行动工作情况，形成总结报告，报市委市政府和济宁市局，就工作中存在的问题提出意见建议，为领导决策提供数据支撑；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深化打击非法开采矿产资源集中整治活动。以砂石资源治理为重点，公布举报电话，落实执法联动机制，重点加大对涉砂案件特别是危害较大、暴力抗法典型案件的打击力度，快查快办、重惩重罚，发现案件及时立案、及时移交确保专项整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集中处理和曝光一批典型案件。突出抓好重点违法地区和重大典型违法案件，选择部分群众反映强烈、造成社会影响一批非法开采矿产资源重大典型违法案件，公开立案、公开查处、公开处罚、公开处理结果，震慑违法，以儆效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堵疏结合，建立长效监管机制。加快制订新的《曲阜市砂石资源管理办法》，进一步明确部门职责，消除监管空白，坚决杜绝“都管、都不管”的现象出现；进一步完善《曲阜市砂石治理问责办法》，压力属地管理职责，加强源头控制，强化督导问责力度。同时，由市自然资源和规划局、市水务局研究编制曲阜市砂石资源利用规划，合理划定可采区、禁采区，严格按照中央、省、市关于砂石资源可持续利用的相关规定，加快社会资本参与矿产资源开发利用的速度，设置部分砂石采矿权，有效保证鲁南高铁、京台高速拓宽等重点项目需求，保障基础设施和群众生产生活的正常需求，建立长效监管机制，保障砂石资源开发利用的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四、组织领导。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为加强对砂石治理专项行动的组织领导，局成立砂石治理专项行动领导小组，姜玉彬同志任组长，倪立贤同志任副组长，领导小组下设办公室，办公室设在执法监察大队，孔凡华同志任办公室主任。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附:曲阜市自然资源和规划局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砂石治理专项行动领导小组名单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thick"/>
          <w:lang w:val="en-US" w:eastAsia="zh-CN"/>
        </w:rPr>
        <w:t>曲阜市自然资源和规划局办公室        2020年5月29日印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曲阜市自然资源和规划局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砂石治理专项行动领导小组名单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 姜玉彬  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 倪立贤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 孔令刚  高铁新城分局局长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14" w:leftChars="303" w:hanging="1478" w:hangingChars="46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袁存宝  吴村中心所所长                  黄  颖 书院中心所所长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0" w:leftChars="10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孔祥建  尼山中心所所长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1" w:leftChars="1000" w:hanging="131" w:hangingChars="4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韩继锋  开发区分局负责人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1" w:leftChars="1000" w:hanging="131" w:hangingChars="41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孔凡华  执法监察大队大队长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99" w:firstLineChars="656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  兵  执法监察大队副大队长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99" w:firstLineChars="656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宋建国  执法监察大队副大队长 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D9C7A0-45E0-45F7-A74A-1CF136D0D0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F5BEDE-2BA1-4A03-9B09-B60DF3FB6BF6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F86EAEB0-6982-440F-89B9-7FD46ECC214A}"/>
  </w:font>
  <w:font w:name="方正黑体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F16A22A5-3952-4DAB-B76D-BA55CFFCD6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7C78A3-15F8-4C42-A93A-F2D4BA473B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5702"/>
    <w:rsid w:val="220922A6"/>
    <w:rsid w:val="24A16771"/>
    <w:rsid w:val="26665702"/>
    <w:rsid w:val="316D076A"/>
    <w:rsid w:val="415F3FFD"/>
    <w:rsid w:val="44715589"/>
    <w:rsid w:val="50351A7B"/>
    <w:rsid w:val="5AA66958"/>
    <w:rsid w:val="5FCC4AA3"/>
    <w:rsid w:val="68024883"/>
    <w:rsid w:val="775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semiHidden/>
    <w:qFormat/>
    <w:uiPriority w:val="99"/>
    <w:pPr>
      <w:spacing w:after="0"/>
      <w:ind w:left="0" w:leftChars="0" w:firstLine="420" w:firstLineChars="200"/>
    </w:pPr>
    <w:rPr>
      <w:rFonts w:ascii="仿宋_GB2312" w:hAnsi="创艺简标宋" w:eastAsia="仿宋_GB2312"/>
      <w:sz w:val="32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2020-06-30T02:29:00Z</dcterms:created>
  <dc:creator>繁华尽处</dc:creator>
  <cp:lastModifiedBy>张凯</cp:lastModifiedBy>
  <cp:lastPrinted>2020-07-01T09:37:00Z</cp:lastPrinted>
  <dcterms:modified xsi:type="dcterms:W3CDTF">2021-01-22T09:15:22Z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