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C9F46">
      <w:pPr>
        <w:keepNext w:val="0"/>
        <w:keepLines w:val="0"/>
        <w:pageBreakBefore w:val="0"/>
        <w:kinsoku/>
        <w:overflowPunct/>
        <w:topLinePunct w:val="0"/>
        <w:autoSpaceDE/>
        <w:autoSpaceDN/>
        <w:bidi w:val="0"/>
        <w:adjustRightInd/>
        <w:snapToGrid/>
        <w:spacing w:line="580" w:lineRule="exact"/>
        <w:ind w:right="-96" w:rightChars="-50"/>
        <w:jc w:val="center"/>
        <w:textAlignment w:val="auto"/>
        <w:rPr>
          <w:rFonts w:hint="eastAsia" w:ascii="Times New Roman" w:hAnsi="Times New Roman" w:eastAsia="方正小标宋简体"/>
          <w:b/>
          <w:color w:val="000000" w:themeColor="text1"/>
          <w:sz w:val="44"/>
          <w:szCs w:val="44"/>
          <w:lang w:val="en-US" w:eastAsia="zh-CN"/>
          <w14:textFill>
            <w14:solidFill>
              <w14:schemeClr w14:val="tx1"/>
            </w14:solidFill>
          </w14:textFill>
        </w:rPr>
      </w:pPr>
    </w:p>
    <w:p w14:paraId="555C5BD7">
      <w:pPr>
        <w:keepNext w:val="0"/>
        <w:keepLines w:val="0"/>
        <w:pageBreakBefore w:val="0"/>
        <w:kinsoku/>
        <w:overflowPunct/>
        <w:topLinePunct w:val="0"/>
        <w:autoSpaceDE/>
        <w:autoSpaceDN/>
        <w:bidi w:val="0"/>
        <w:adjustRightInd/>
        <w:snapToGrid/>
        <w:spacing w:line="580" w:lineRule="exact"/>
        <w:ind w:right="-96" w:rightChars="-50"/>
        <w:jc w:val="center"/>
        <w:textAlignment w:val="auto"/>
        <w:rPr>
          <w:rFonts w:hint="default" w:ascii="Times New Roman" w:hAnsi="Times New Roman" w:eastAsia="方正小标宋简体"/>
          <w:b/>
          <w:color w:val="000000" w:themeColor="text1"/>
          <w:sz w:val="44"/>
          <w:szCs w:val="44"/>
          <w:lang w:val="en-US" w:eastAsia="zh-CN"/>
          <w14:textFill>
            <w14:solidFill>
              <w14:schemeClr w14:val="tx1"/>
            </w14:solidFill>
          </w14:textFill>
        </w:rPr>
      </w:pPr>
      <w:r>
        <w:rPr>
          <w:rFonts w:hint="eastAsia" w:ascii="Times New Roman" w:hAnsi="Times New Roman" w:eastAsia="方正小标宋简体"/>
          <w:b/>
          <w:color w:val="000000" w:themeColor="text1"/>
          <w:sz w:val="44"/>
          <w:szCs w:val="44"/>
          <w:lang w:val="en-US" w:eastAsia="zh-CN"/>
          <w14:textFill>
            <w14:solidFill>
              <w14:schemeClr w14:val="tx1"/>
            </w14:solidFill>
          </w14:textFill>
        </w:rPr>
        <w:t>曲阜市人民政府办公室</w:t>
      </w:r>
    </w:p>
    <w:p w14:paraId="318BF014">
      <w:pPr>
        <w:keepNext w:val="0"/>
        <w:keepLines w:val="0"/>
        <w:pageBreakBefore w:val="0"/>
        <w:kinsoku/>
        <w:overflowPunct/>
        <w:topLinePunct w:val="0"/>
        <w:autoSpaceDE/>
        <w:autoSpaceDN/>
        <w:bidi w:val="0"/>
        <w:adjustRightInd/>
        <w:snapToGrid/>
        <w:spacing w:line="580" w:lineRule="exact"/>
        <w:ind w:right="-96" w:rightChars="-50"/>
        <w:jc w:val="center"/>
        <w:textAlignment w:val="auto"/>
        <w:rPr>
          <w:rFonts w:hint="eastAsia" w:ascii="Times New Roman" w:hAnsi="Times New Roman" w:eastAsia="方正小标宋简体"/>
          <w:b/>
          <w:color w:val="000000" w:themeColor="text1"/>
          <w:sz w:val="44"/>
          <w:szCs w:val="44"/>
          <w14:textFill>
            <w14:solidFill>
              <w14:schemeClr w14:val="tx1"/>
            </w14:solidFill>
          </w14:textFill>
        </w:rPr>
      </w:pPr>
      <w:r>
        <w:rPr>
          <w:rFonts w:hint="eastAsia" w:ascii="Times New Roman" w:hAnsi="Times New Roman" w:eastAsia="方正小标宋简体"/>
          <w:b/>
          <w:color w:val="000000" w:themeColor="text1"/>
          <w:sz w:val="44"/>
          <w:szCs w:val="44"/>
          <w14:textFill>
            <w14:solidFill>
              <w14:schemeClr w14:val="tx1"/>
            </w14:solidFill>
          </w14:textFill>
        </w:rPr>
        <w:t>202</w:t>
      </w:r>
      <w:r>
        <w:rPr>
          <w:rFonts w:hint="eastAsia" w:ascii="Times New Roman" w:hAnsi="Times New Roman" w:eastAsia="方正小标宋简体"/>
          <w:b/>
          <w:color w:val="000000" w:themeColor="text1"/>
          <w:sz w:val="44"/>
          <w:szCs w:val="44"/>
          <w:lang w:val="en-US" w:eastAsia="zh-CN"/>
          <w14:textFill>
            <w14:solidFill>
              <w14:schemeClr w14:val="tx1"/>
            </w14:solidFill>
          </w14:textFill>
        </w:rPr>
        <w:t>3</w:t>
      </w:r>
      <w:r>
        <w:rPr>
          <w:rFonts w:hint="eastAsia" w:ascii="Times New Roman" w:hAnsi="Times New Roman" w:eastAsia="方正小标宋简体"/>
          <w:b/>
          <w:color w:val="000000" w:themeColor="text1"/>
          <w:sz w:val="44"/>
          <w:szCs w:val="44"/>
          <w14:textFill>
            <w14:solidFill>
              <w14:schemeClr w14:val="tx1"/>
            </w14:solidFill>
          </w14:textFill>
        </w:rPr>
        <w:t>年政府信息公开工作年度</w:t>
      </w:r>
    </w:p>
    <w:p w14:paraId="765396E5">
      <w:pPr>
        <w:keepNext w:val="0"/>
        <w:keepLines w:val="0"/>
        <w:pageBreakBefore w:val="0"/>
        <w:kinsoku/>
        <w:overflowPunct/>
        <w:topLinePunct w:val="0"/>
        <w:autoSpaceDE/>
        <w:autoSpaceDN/>
        <w:bidi w:val="0"/>
        <w:adjustRightInd/>
        <w:snapToGrid/>
        <w:spacing w:line="580" w:lineRule="exact"/>
        <w:ind w:right="-96" w:rightChars="-50"/>
        <w:jc w:val="center"/>
        <w:textAlignment w:val="auto"/>
        <w:rPr>
          <w:rFonts w:ascii="Times New Roman" w:hAnsi="Times New Roman" w:eastAsia="方正小标宋简体"/>
          <w:b/>
          <w:color w:val="000000" w:themeColor="text1"/>
          <w:sz w:val="44"/>
          <w:szCs w:val="44"/>
          <w14:textFill>
            <w14:solidFill>
              <w14:schemeClr w14:val="tx1"/>
            </w14:solidFill>
          </w14:textFill>
        </w:rPr>
      </w:pPr>
      <w:r>
        <w:rPr>
          <w:rFonts w:hint="eastAsia" w:ascii="Times New Roman" w:hAnsi="Times New Roman" w:eastAsia="方正小标宋简体"/>
          <w:b/>
          <w:color w:val="000000" w:themeColor="text1"/>
          <w:sz w:val="44"/>
          <w:szCs w:val="44"/>
          <w14:textFill>
            <w14:solidFill>
              <w14:schemeClr w14:val="tx1"/>
            </w14:solidFill>
          </w14:textFill>
        </w:rPr>
        <w:t>报</w:t>
      </w:r>
      <w:r>
        <w:rPr>
          <w:rFonts w:hint="eastAsia" w:ascii="Times New Roman" w:hAnsi="Times New Roman" w:eastAsia="方正小标宋简体"/>
          <w:b/>
          <w:color w:val="000000" w:themeColor="text1"/>
          <w:sz w:val="44"/>
          <w:szCs w:val="44"/>
          <w:lang w:val="en-US" w:eastAsia="zh-CN"/>
          <w14:textFill>
            <w14:solidFill>
              <w14:schemeClr w14:val="tx1"/>
            </w14:solidFill>
          </w14:textFill>
        </w:rPr>
        <w:t xml:space="preserve">  </w:t>
      </w:r>
      <w:r>
        <w:rPr>
          <w:rFonts w:hint="eastAsia" w:ascii="Times New Roman" w:hAnsi="Times New Roman" w:eastAsia="方正小标宋简体"/>
          <w:b/>
          <w:color w:val="000000" w:themeColor="text1"/>
          <w:sz w:val="44"/>
          <w:szCs w:val="44"/>
          <w14:textFill>
            <w14:solidFill>
              <w14:schemeClr w14:val="tx1"/>
            </w14:solidFill>
          </w14:textFill>
        </w:rPr>
        <w:t>告</w:t>
      </w:r>
    </w:p>
    <w:p w14:paraId="1A6132F9">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ascii="Times New Roman" w:hAnsi="Times New Roman" w:eastAsia="方正仿宋简体"/>
          <w:b/>
          <w:color w:val="000000" w:themeColor="text1"/>
          <w:sz w:val="32"/>
          <w:szCs w:val="32"/>
          <w14:textFill>
            <w14:solidFill>
              <w14:schemeClr w14:val="tx1"/>
            </w14:solidFill>
          </w14:textFill>
        </w:rPr>
      </w:pPr>
    </w:p>
    <w:p w14:paraId="0BC198ED">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本报告由</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曲阜市人民政府办公室</w:t>
      </w:r>
      <w:r>
        <w:rPr>
          <w:rFonts w:hint="eastAsia" w:ascii="Times New Roman" w:hAnsi="Times New Roman"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14:paraId="20D38268">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14:paraId="7BADED36">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本报告所列数据的统计期限自202</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w:t>
      </w:r>
      <w:r>
        <w:rPr>
          <w:rFonts w:hint="eastAsia" w:ascii="Times New Roman" w:hAnsi="Times New Roman" w:eastAsia="方正仿宋简体"/>
          <w:b/>
          <w:color w:val="000000" w:themeColor="text1"/>
          <w:sz w:val="32"/>
          <w:szCs w:val="32"/>
          <w14:textFill>
            <w14:solidFill>
              <w14:schemeClr w14:val="tx1"/>
            </w14:solidFill>
          </w14:textFill>
        </w:rPr>
        <w:t>年1月1日起至202</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w:t>
      </w:r>
      <w:r>
        <w:rPr>
          <w:rFonts w:hint="eastAsia" w:ascii="Times New Roman" w:hAnsi="Times New Roman" w:eastAsia="方正仿宋简体"/>
          <w:b/>
          <w:color w:val="000000" w:themeColor="text1"/>
          <w:sz w:val="32"/>
          <w:szCs w:val="32"/>
          <w14:textFill>
            <w14:solidFill>
              <w14:schemeClr w14:val="tx1"/>
            </w14:solidFill>
          </w14:textFill>
        </w:rPr>
        <w:t>年12月31日止。本报告电子版可在“中国·</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曲阜</w:t>
      </w:r>
      <w:r>
        <w:rPr>
          <w:rFonts w:hint="eastAsia" w:ascii="Times New Roman" w:hAnsi="Times New Roman" w:eastAsia="方正仿宋简体"/>
          <w:b/>
          <w:color w:val="000000" w:themeColor="text1"/>
          <w:sz w:val="32"/>
          <w:szCs w:val="32"/>
          <w14:textFill>
            <w14:solidFill>
              <w14:schemeClr w14:val="tx1"/>
            </w14:solidFill>
          </w14:textFill>
        </w:rPr>
        <w:t>”政府门户网站（</w:t>
      </w:r>
      <w:r>
        <w:rPr>
          <w:rFonts w:hint="eastAsia" w:ascii="Times New Roman" w:hAnsi="Times New Roman" w:eastAsia="方正仿宋简体"/>
          <w:b/>
          <w:color w:val="000000" w:themeColor="text1"/>
          <w:sz w:val="32"/>
          <w:szCs w:val="32"/>
          <w:lang w:val="en-US" w:eastAsia="zh-CN"/>
          <w14:textFill>
            <w14:solidFill>
              <w14:schemeClr w14:val="tx1"/>
            </w14:solidFill>
          </w14:textFill>
        </w:rPr>
        <w:t>www.qufu.gov.vn</w:t>
      </w:r>
      <w:r>
        <w:rPr>
          <w:rFonts w:hint="eastAsia" w:ascii="Times New Roman" w:hAnsi="Times New Roman" w:eastAsia="方正仿宋简体"/>
          <w:b/>
          <w:color w:val="000000" w:themeColor="text1"/>
          <w:sz w:val="32"/>
          <w:szCs w:val="32"/>
          <w14:textFill>
            <w14:solidFill>
              <w14:schemeClr w14:val="tx1"/>
            </w14:solidFill>
          </w14:textFill>
        </w:rPr>
        <w:t>）查阅或下载。如对本报告有疑问，请与</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曲阜市人民政府办公室政务公开办公室</w:t>
      </w:r>
      <w:r>
        <w:rPr>
          <w:rFonts w:hint="eastAsia" w:ascii="Times New Roman" w:hAnsi="Times New Roman" w:eastAsia="方正仿宋简体"/>
          <w:b/>
          <w:color w:val="000000" w:themeColor="text1"/>
          <w:sz w:val="32"/>
          <w:szCs w:val="32"/>
          <w14:textFill>
            <w14:solidFill>
              <w14:schemeClr w14:val="tx1"/>
            </w14:solidFill>
          </w14:textFill>
        </w:rPr>
        <w:t>联系（地址：</w:t>
      </w:r>
      <w:r>
        <w:rPr>
          <w:rFonts w:hint="eastAsia" w:ascii="Times New Roman" w:hAnsi="Times New Roman" w:eastAsia="方正仿宋简体"/>
          <w:b/>
          <w:color w:val="000000" w:themeColor="text1"/>
          <w:sz w:val="32"/>
          <w:szCs w:val="32"/>
          <w:lang w:val="en-US" w:eastAsia="zh-CN"/>
          <w14:textFill>
            <w14:solidFill>
              <w14:schemeClr w14:val="tx1"/>
            </w14:solidFill>
          </w14:textFill>
        </w:rPr>
        <w:t>山东省曲阜市春秋路一号</w:t>
      </w:r>
      <w:r>
        <w:rPr>
          <w:rFonts w:hint="eastAsia" w:ascii="Times New Roman" w:hAnsi="Times New Roman" w:eastAsia="方正仿宋简体"/>
          <w:b/>
          <w:color w:val="000000" w:themeColor="text1"/>
          <w:sz w:val="32"/>
          <w:szCs w:val="32"/>
          <w14:textFill>
            <w14:solidFill>
              <w14:schemeClr w14:val="tx1"/>
            </w14:solidFill>
          </w14:textFill>
        </w:rPr>
        <w:t>，联系电话：0537-</w:t>
      </w:r>
      <w:r>
        <w:rPr>
          <w:rFonts w:hint="eastAsia" w:ascii="Times New Roman" w:hAnsi="Times New Roman" w:eastAsia="方正仿宋简体"/>
          <w:b/>
          <w:color w:val="000000" w:themeColor="text1"/>
          <w:sz w:val="32"/>
          <w:szCs w:val="32"/>
          <w:lang w:val="en-US" w:eastAsia="zh-CN"/>
          <w14:textFill>
            <w14:solidFill>
              <w14:schemeClr w14:val="tx1"/>
            </w14:solidFill>
          </w14:textFill>
        </w:rPr>
        <w:t>4498856</w:t>
      </w:r>
      <w:r>
        <w:rPr>
          <w:rFonts w:hint="eastAsia" w:ascii="Times New Roman" w:hAnsi="Times New Roman" w:eastAsia="方正仿宋简体"/>
          <w:b/>
          <w:color w:val="000000" w:themeColor="text1"/>
          <w:sz w:val="32"/>
          <w:szCs w:val="32"/>
          <w14:textFill>
            <w14:solidFill>
              <w14:schemeClr w14:val="tx1"/>
            </w14:solidFill>
          </w14:textFill>
        </w:rPr>
        <w:t>）。</w:t>
      </w:r>
    </w:p>
    <w:p w14:paraId="55A1743F">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一、总体情况</w:t>
      </w:r>
    </w:p>
    <w:p w14:paraId="28076DEB">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hint="default" w:ascii="Times New Roman" w:hAnsi="Times New Roman" w:eastAsia="方正仿宋简体"/>
          <w:b/>
          <w:color w:val="000000" w:themeColor="text1"/>
          <w:sz w:val="32"/>
          <w:szCs w:val="32"/>
          <w:lang w:val="en-US"/>
          <w14:textFill>
            <w14:solidFill>
              <w14:schemeClr w14:val="tx1"/>
            </w14:solidFill>
          </w14:textFill>
        </w:rPr>
      </w:pPr>
      <w:r>
        <w:rPr>
          <w:rFonts w:hint="eastAsia" w:ascii="Times New Roman" w:hAnsi="Times New Roman" w:eastAsia="方正仿宋简体" w:cs="宋体"/>
          <w:b/>
          <w:bCs/>
          <w:sz w:val="32"/>
          <w:szCs w:val="32"/>
          <w:lang w:val="en-US" w:eastAsia="zh-CN"/>
        </w:rPr>
        <w:t>2023年度曲阜市政府办公室政务公开办公室认真贯彻落实《中华人民共和国政府信息公开条例》、省市《2023年政务公开工作要点》等相关文件精神，持续深化重点信息领域公开，切实加强政策解读、回应关切等，不断完善政务公开制度，稳步推进全市政务公开各项工作</w:t>
      </w:r>
      <w:r>
        <w:rPr>
          <w:rFonts w:hint="eastAsia" w:eastAsia="方正仿宋简体" w:cs="宋体"/>
          <w:b/>
          <w:bCs/>
          <w:sz w:val="32"/>
          <w:szCs w:val="32"/>
          <w:lang w:val="en-US" w:eastAsia="zh-CN"/>
        </w:rPr>
        <w:t>。</w:t>
      </w:r>
    </w:p>
    <w:p w14:paraId="5ED92671">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楷体简体"/>
          <w:b/>
          <w:color w:val="000000" w:themeColor="text1"/>
          <w:sz w:val="32"/>
          <w:szCs w:val="32"/>
          <w:lang w:val="en-US" w:eastAsia="zh-CN"/>
          <w14:textFill>
            <w14:solidFill>
              <w14:schemeClr w14:val="tx1"/>
            </w14:solidFill>
          </w14:textFill>
        </w:rPr>
      </w:pPr>
      <w:r>
        <w:rPr>
          <w:rFonts w:hint="eastAsia" w:ascii="Times New Roman" w:hAnsi="Times New Roman" w:eastAsia="方正楷体简体"/>
          <w:b/>
          <w:color w:val="000000" w:themeColor="text1"/>
          <w:sz w:val="32"/>
          <w:szCs w:val="32"/>
          <w14:textFill>
            <w14:solidFill>
              <w14:schemeClr w14:val="tx1"/>
            </w14:solidFill>
          </w14:textFill>
        </w:rPr>
        <w:t>（一）</w:t>
      </w:r>
      <w:r>
        <w:rPr>
          <w:rFonts w:hint="eastAsia" w:ascii="Times New Roman" w:hAnsi="Times New Roman" w:eastAsia="方正楷体简体"/>
          <w:b/>
          <w:color w:val="000000" w:themeColor="text1"/>
          <w:sz w:val="32"/>
          <w:szCs w:val="32"/>
          <w:lang w:val="en-US" w:eastAsia="zh-CN"/>
          <w14:textFill>
            <w14:solidFill>
              <w14:schemeClr w14:val="tx1"/>
            </w14:solidFill>
          </w14:textFill>
        </w:rPr>
        <w:t>不断提升</w:t>
      </w:r>
      <w:r>
        <w:rPr>
          <w:rFonts w:hint="eastAsia" w:ascii="Times New Roman" w:hAnsi="Times New Roman" w:eastAsia="方正楷体简体"/>
          <w:b/>
          <w:color w:val="000000" w:themeColor="text1"/>
          <w:sz w:val="32"/>
          <w:szCs w:val="32"/>
          <w14:textFill>
            <w14:solidFill>
              <w14:schemeClr w14:val="tx1"/>
            </w14:solidFill>
          </w14:textFill>
        </w:rPr>
        <w:t>主动公开</w:t>
      </w:r>
      <w:r>
        <w:rPr>
          <w:rFonts w:hint="eastAsia" w:ascii="Times New Roman" w:hAnsi="Times New Roman" w:eastAsia="方正楷体简体"/>
          <w:b/>
          <w:color w:val="000000" w:themeColor="text1"/>
          <w:sz w:val="32"/>
          <w:szCs w:val="32"/>
          <w:lang w:val="en-US" w:eastAsia="zh-CN"/>
          <w14:textFill>
            <w14:solidFill>
              <w14:schemeClr w14:val="tx1"/>
            </w14:solidFill>
          </w14:textFill>
        </w:rPr>
        <w:t>水平</w:t>
      </w:r>
    </w:p>
    <w:p w14:paraId="1C94B38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4" w:firstLineChars="200"/>
        <w:textAlignment w:val="auto"/>
        <w:rPr>
          <w:rFonts w:hint="eastAsia" w:ascii="Times New Roman" w:hAnsi="Times New Roman" w:eastAsia="方正仿宋简体" w:cs="宋体"/>
          <w:b/>
          <w:bCs/>
          <w:sz w:val="32"/>
          <w:szCs w:val="32"/>
          <w:highlight w:val="none"/>
          <w:lang w:val="en-US" w:eastAsia="zh-CN"/>
        </w:rPr>
      </w:pPr>
      <w:r>
        <w:rPr>
          <w:rFonts w:hint="eastAsia" w:ascii="Times New Roman" w:hAnsi="Times New Roman" w:eastAsia="方正仿宋简体" w:cs="宋体"/>
          <w:b/>
          <w:bCs/>
          <w:sz w:val="32"/>
          <w:szCs w:val="32"/>
          <w:highlight w:val="none"/>
          <w:lang w:val="en-US" w:eastAsia="zh-CN"/>
        </w:rPr>
        <w:t>2023年，累计发布政府信息1301条，其中发布常务会议及相关解读32篇，发布重大决策4项；完善全市政务公开基本目录，提升信息发布质量；制作、发布政策文件解读296篇，其中图解、视频、</w:t>
      </w:r>
      <w:r>
        <w:rPr>
          <w:rFonts w:hint="eastAsia" w:eastAsia="方正仿宋简体" w:cs="宋体"/>
          <w:b/>
          <w:bCs/>
          <w:sz w:val="32"/>
          <w:szCs w:val="32"/>
          <w:highlight w:val="none"/>
          <w:lang w:val="en-US" w:eastAsia="zh-CN"/>
        </w:rPr>
        <w:t>AI</w:t>
      </w:r>
      <w:r>
        <w:rPr>
          <w:rFonts w:hint="eastAsia" w:ascii="Times New Roman" w:hAnsi="Times New Roman" w:eastAsia="方正仿宋简体" w:cs="宋体"/>
          <w:b/>
          <w:bCs/>
          <w:sz w:val="32"/>
          <w:szCs w:val="32"/>
          <w:highlight w:val="none"/>
          <w:lang w:val="en-US" w:eastAsia="zh-CN"/>
        </w:rPr>
        <w:t>等多种形式解读材料125篇，专家、媒体等不同角度解读材料49篇，不断提高政策可读性和知晓度。</w:t>
      </w:r>
    </w:p>
    <w:p w14:paraId="72B2F6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宋体"/>
          <w:b/>
          <w:bCs/>
          <w:sz w:val="32"/>
          <w:szCs w:val="32"/>
          <w:highlight w:val="none"/>
          <w:lang w:val="en-US" w:eastAsia="zh-CN"/>
        </w:rPr>
      </w:pPr>
      <w:r>
        <w:rPr>
          <w:rFonts w:hint="default" w:ascii="Times New Roman" w:hAnsi="Times New Roman" w:eastAsia="方正仿宋简体" w:cs="宋体"/>
          <w:b/>
          <w:bCs/>
          <w:sz w:val="32"/>
          <w:szCs w:val="32"/>
          <w:highlight w:val="none"/>
          <w:lang w:val="en-US" w:eastAsia="zh-CN"/>
        </w:rPr>
        <w:drawing>
          <wp:inline distT="0" distB="0" distL="114300" distR="114300">
            <wp:extent cx="4839970" cy="2834640"/>
            <wp:effectExtent l="0" t="0" r="17780" b="3810"/>
            <wp:docPr id="3" name="图片 3" descr="解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解读"/>
                    <pic:cNvPicPr>
                      <a:picLocks noChangeAspect="1"/>
                    </pic:cNvPicPr>
                  </pic:nvPicPr>
                  <pic:blipFill>
                    <a:blip r:embed="rId5"/>
                    <a:stretch>
                      <a:fillRect/>
                    </a:stretch>
                  </pic:blipFill>
                  <pic:spPr>
                    <a:xfrm>
                      <a:off x="0" y="0"/>
                      <a:ext cx="4839970" cy="2834640"/>
                    </a:xfrm>
                    <a:prstGeom prst="rect">
                      <a:avLst/>
                    </a:prstGeom>
                  </pic:spPr>
                </pic:pic>
              </a:graphicData>
            </a:graphic>
          </wp:inline>
        </w:drawing>
      </w:r>
    </w:p>
    <w:p w14:paraId="73F7F6E4">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default" w:ascii="Times New Roman" w:hAnsi="Times New Roman" w:eastAsia="方正楷体简体"/>
          <w:b/>
          <w:color w:val="000000" w:themeColor="text1"/>
          <w:sz w:val="32"/>
          <w:szCs w:val="32"/>
          <w:lang w:val="en-US" w:eastAsia="zh-CN"/>
          <w14:textFill>
            <w14:solidFill>
              <w14:schemeClr w14:val="tx1"/>
            </w14:solidFill>
          </w14:textFill>
        </w:rPr>
      </w:pPr>
      <w:r>
        <w:rPr>
          <w:rFonts w:hint="eastAsia" w:ascii="Times New Roman" w:hAnsi="Times New Roman" w:eastAsia="方正楷体简体"/>
          <w:b/>
          <w:color w:val="000000" w:themeColor="text1"/>
          <w:sz w:val="32"/>
          <w:szCs w:val="32"/>
          <w14:textFill>
            <w14:solidFill>
              <w14:schemeClr w14:val="tx1"/>
            </w14:solidFill>
          </w14:textFill>
        </w:rPr>
        <w:t>（二）</w:t>
      </w:r>
      <w:r>
        <w:rPr>
          <w:rFonts w:hint="eastAsia" w:ascii="Times New Roman" w:hAnsi="Times New Roman" w:eastAsia="方正楷体简体"/>
          <w:b/>
          <w:color w:val="000000" w:themeColor="text1"/>
          <w:sz w:val="32"/>
          <w:szCs w:val="32"/>
          <w:lang w:val="en-US" w:eastAsia="zh-CN"/>
          <w14:textFill>
            <w14:solidFill>
              <w14:schemeClr w14:val="tx1"/>
            </w14:solidFill>
          </w14:textFill>
        </w:rPr>
        <w:t>规范</w:t>
      </w:r>
      <w:r>
        <w:rPr>
          <w:rFonts w:hint="eastAsia" w:ascii="Times New Roman" w:hAnsi="Times New Roman" w:eastAsia="方正楷体简体"/>
          <w:b/>
          <w:color w:val="000000" w:themeColor="text1"/>
          <w:sz w:val="32"/>
          <w:szCs w:val="32"/>
          <w14:textFill>
            <w14:solidFill>
              <w14:schemeClr w14:val="tx1"/>
            </w14:solidFill>
          </w14:textFill>
        </w:rPr>
        <w:t>依申请公开</w:t>
      </w:r>
      <w:r>
        <w:rPr>
          <w:rFonts w:hint="eastAsia" w:ascii="Times New Roman" w:hAnsi="Times New Roman" w:eastAsia="方正楷体简体"/>
          <w:b/>
          <w:color w:val="000000" w:themeColor="text1"/>
          <w:sz w:val="32"/>
          <w:szCs w:val="32"/>
          <w:lang w:val="en-US" w:eastAsia="zh-CN"/>
          <w14:textFill>
            <w14:solidFill>
              <w14:schemeClr w14:val="tx1"/>
            </w14:solidFill>
          </w14:textFill>
        </w:rPr>
        <w:t>答复工作</w:t>
      </w:r>
    </w:p>
    <w:p w14:paraId="357A78A5">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仿宋简体" w:cs="宋体"/>
          <w:b/>
          <w:bCs/>
          <w:sz w:val="32"/>
          <w:szCs w:val="32"/>
          <w:highlight w:val="none"/>
          <w:lang w:val="en-US" w:eastAsia="zh-CN"/>
        </w:rPr>
      </w:pPr>
      <w:r>
        <w:rPr>
          <w:rFonts w:hint="eastAsia" w:ascii="Times New Roman" w:hAnsi="Times New Roman" w:eastAsia="方正仿宋简体" w:cs="宋体"/>
          <w:b/>
          <w:bCs/>
          <w:sz w:val="32"/>
          <w:szCs w:val="32"/>
          <w:highlight w:val="none"/>
          <w:lang w:val="en-US" w:eastAsia="zh-CN"/>
        </w:rPr>
        <w:t>2023年度市政府办公室收到依申请公开件21件，与去年相比，增加4件，全部依法依规按时答复。</w:t>
      </w:r>
      <w:r>
        <w:rPr>
          <w:rFonts w:hint="eastAsia" w:ascii="Times New Roman" w:hAnsi="Times New Roman" w:eastAsia="方正仿宋简体" w:cs="方正仿宋简体"/>
          <w:b/>
          <w:bCs/>
          <w:sz w:val="32"/>
          <w:szCs w:val="32"/>
          <w:highlight w:val="none"/>
        </w:rPr>
        <w:t>严格对照《政府信息公开条例</w:t>
      </w:r>
      <w:r>
        <w:rPr>
          <w:rFonts w:hint="eastAsia" w:ascii="Times New Roman" w:hAnsi="Times New Roman" w:eastAsia="方正仿宋简体" w:cs="方正仿宋简体"/>
          <w:b/>
          <w:bCs/>
          <w:sz w:val="32"/>
          <w:szCs w:val="32"/>
          <w:highlight w:val="none"/>
          <w:lang w:eastAsia="zh-CN"/>
        </w:rPr>
        <w:t>》</w:t>
      </w:r>
      <w:r>
        <w:rPr>
          <w:rFonts w:hint="eastAsia" w:ascii="Times New Roman" w:hAnsi="Times New Roman" w:eastAsia="方正仿宋简体" w:cs="方正仿宋简体"/>
          <w:b/>
          <w:bCs/>
          <w:sz w:val="32"/>
          <w:szCs w:val="32"/>
          <w:highlight w:val="none"/>
        </w:rPr>
        <w:t>等法律、法规的要求，梳理、完善各项工作</w:t>
      </w:r>
      <w:r>
        <w:rPr>
          <w:rFonts w:hint="eastAsia" w:ascii="Times New Roman" w:hAnsi="Times New Roman" w:eastAsia="方正仿宋简体" w:cs="方正仿宋简体"/>
          <w:b/>
          <w:bCs/>
          <w:sz w:val="32"/>
          <w:szCs w:val="32"/>
          <w:highlight w:val="none"/>
          <w:lang w:val="en-US" w:eastAsia="zh-CN"/>
        </w:rPr>
        <w:t>过程</w:t>
      </w:r>
      <w:r>
        <w:rPr>
          <w:rFonts w:hint="eastAsia" w:ascii="Times New Roman" w:hAnsi="Times New Roman" w:eastAsia="方正仿宋简体" w:cs="方正仿宋简体"/>
          <w:b/>
          <w:bCs/>
          <w:sz w:val="32"/>
          <w:szCs w:val="32"/>
          <w:highlight w:val="none"/>
        </w:rPr>
        <w:t>，明确政府信息公开的流程和标准文</w:t>
      </w:r>
      <w:r>
        <w:rPr>
          <w:rFonts w:hint="eastAsia" w:ascii="Times New Roman" w:hAnsi="Times New Roman" w:eastAsia="方正仿宋简体" w:cs="方正仿宋简体"/>
          <w:b/>
          <w:bCs/>
          <w:color w:val="auto"/>
          <w:sz w:val="32"/>
          <w:szCs w:val="32"/>
          <w:highlight w:val="none"/>
        </w:rPr>
        <w:t>书，形成政府信息依申请公开办理批办单，办理过程全程跟进</w:t>
      </w:r>
      <w:r>
        <w:rPr>
          <w:rFonts w:hint="eastAsia" w:ascii="Times New Roman" w:hAnsi="Times New Roman" w:eastAsia="方正仿宋简体" w:cs="方正仿宋简体"/>
          <w:b/>
          <w:bCs/>
          <w:color w:val="auto"/>
          <w:sz w:val="32"/>
          <w:szCs w:val="32"/>
          <w:highlight w:val="none"/>
          <w:lang w:eastAsia="zh-CN"/>
        </w:rPr>
        <w:t>，</w:t>
      </w:r>
      <w:r>
        <w:rPr>
          <w:rFonts w:hint="eastAsia" w:ascii="Times New Roman" w:hAnsi="Times New Roman" w:eastAsia="方正仿宋简体" w:cs="方正仿宋简体"/>
          <w:b/>
          <w:bCs/>
          <w:color w:val="auto"/>
          <w:sz w:val="32"/>
          <w:szCs w:val="32"/>
          <w:highlight w:val="none"/>
        </w:rPr>
        <w:t>使每</w:t>
      </w:r>
      <w:r>
        <w:rPr>
          <w:rFonts w:hint="eastAsia" w:ascii="Times New Roman" w:hAnsi="Times New Roman" w:eastAsia="方正仿宋简体" w:cs="方正仿宋简体"/>
          <w:b/>
          <w:bCs/>
          <w:sz w:val="32"/>
          <w:szCs w:val="32"/>
          <w:highlight w:val="none"/>
        </w:rPr>
        <w:t>一件政府信息公开申请都依法依规办理</w:t>
      </w:r>
      <w:r>
        <w:rPr>
          <w:rFonts w:hint="eastAsia" w:ascii="Times New Roman" w:hAnsi="Times New Roman" w:eastAsia="方正仿宋简体" w:cs="宋体"/>
          <w:b/>
          <w:bCs/>
          <w:sz w:val="32"/>
          <w:szCs w:val="32"/>
          <w:highlight w:val="none"/>
          <w:lang w:val="en-US" w:eastAsia="zh-CN"/>
        </w:rPr>
        <w:t>。</w:t>
      </w:r>
    </w:p>
    <w:p w14:paraId="185A9D27">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drawing>
          <wp:inline distT="0" distB="0" distL="114300" distR="114300">
            <wp:extent cx="4839970" cy="3334385"/>
            <wp:effectExtent l="0" t="0" r="17780" b="18415"/>
            <wp:docPr id="4" name="图片 4" descr="依申请公开数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依申请公开数量"/>
                    <pic:cNvPicPr>
                      <a:picLocks noChangeAspect="1"/>
                    </pic:cNvPicPr>
                  </pic:nvPicPr>
                  <pic:blipFill>
                    <a:blip r:embed="rId6"/>
                    <a:stretch>
                      <a:fillRect/>
                    </a:stretch>
                  </pic:blipFill>
                  <pic:spPr>
                    <a:xfrm>
                      <a:off x="0" y="0"/>
                      <a:ext cx="4839970" cy="3334385"/>
                    </a:xfrm>
                    <a:prstGeom prst="rect">
                      <a:avLst/>
                    </a:prstGeom>
                  </pic:spPr>
                </pic:pic>
              </a:graphicData>
            </a:graphic>
          </wp:inline>
        </w:drawing>
      </w:r>
    </w:p>
    <w:p w14:paraId="621B9544">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楷体简体"/>
          <w:b/>
          <w:color w:val="000000" w:themeColor="text1"/>
          <w:sz w:val="32"/>
          <w:szCs w:val="32"/>
          <w:highlight w:val="none"/>
          <w14:textFill>
            <w14:solidFill>
              <w14:schemeClr w14:val="tx1"/>
            </w14:solidFill>
          </w14:textFill>
        </w:rPr>
      </w:pPr>
      <w:r>
        <w:rPr>
          <w:rFonts w:hint="eastAsia" w:ascii="Times New Roman" w:hAnsi="Times New Roman" w:eastAsia="方正楷体简体"/>
          <w:b/>
          <w:color w:val="000000" w:themeColor="text1"/>
          <w:sz w:val="32"/>
          <w:szCs w:val="32"/>
          <w:highlight w:val="none"/>
          <w:lang w:val="en-US" w:eastAsia="zh-CN"/>
          <w14:textFill>
            <w14:solidFill>
              <w14:schemeClr w14:val="tx1"/>
            </w14:solidFill>
          </w14:textFill>
        </w:rPr>
        <w:t>健全</w:t>
      </w:r>
      <w:r>
        <w:rPr>
          <w:rFonts w:hint="eastAsia" w:ascii="Times New Roman" w:hAnsi="Times New Roman" w:eastAsia="方正楷体简体"/>
          <w:b/>
          <w:color w:val="000000" w:themeColor="text1"/>
          <w:sz w:val="32"/>
          <w:szCs w:val="32"/>
          <w:highlight w:val="none"/>
          <w14:textFill>
            <w14:solidFill>
              <w14:schemeClr w14:val="tx1"/>
            </w14:solidFill>
          </w14:textFill>
        </w:rPr>
        <w:t>政府信息管理</w:t>
      </w:r>
      <w:r>
        <w:rPr>
          <w:rFonts w:hint="eastAsia" w:ascii="Times New Roman" w:hAnsi="Times New Roman" w:eastAsia="方正楷体简体"/>
          <w:b/>
          <w:color w:val="000000" w:themeColor="text1"/>
          <w:sz w:val="32"/>
          <w:szCs w:val="32"/>
          <w:highlight w:val="none"/>
          <w:lang w:val="en-US" w:eastAsia="zh-CN"/>
          <w14:textFill>
            <w14:solidFill>
              <w14:schemeClr w14:val="tx1"/>
            </w14:solidFill>
          </w14:textFill>
        </w:rPr>
        <w:t>机制</w:t>
      </w:r>
    </w:p>
    <w:p w14:paraId="65FBFD36">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highlight w:val="none"/>
          <w:lang w:val="en-US" w:eastAsia="zh-CN"/>
        </w:rPr>
      </w:pPr>
      <w:r>
        <w:rPr>
          <w:rFonts w:hint="eastAsia" w:ascii="Times New Roman" w:hAnsi="Times New Roman" w:eastAsia="方正仿宋简体" w:cs="宋体"/>
          <w:b/>
          <w:bCs/>
          <w:sz w:val="32"/>
          <w:szCs w:val="32"/>
          <w:highlight w:val="none"/>
          <w:lang w:val="en-US" w:eastAsia="zh-CN"/>
        </w:rPr>
        <w:t>制定印发《关于加强政府网站和政务新媒体管理工作的通知》《曲阜市人民政府网站信息审核发布管理制度》；对全市政府网站政府信息发布的全流程进行规范，确保政府网站上所发布的信息从采集、审核到发布再到整理、归档的全生命周期管理；2023年度发布新增规范性文件4件，整理延长有效期规范性文件3件，目前“规范性文件发布”专区</w:t>
      </w:r>
      <w:r>
        <w:rPr>
          <w:rFonts w:hint="eastAsia" w:ascii="Times New Roman" w:hAnsi="Times New Roman" w:eastAsia="方正仿宋简体"/>
          <w:b/>
          <w:color w:val="000000" w:themeColor="text1"/>
          <w:sz w:val="32"/>
          <w:szCs w:val="32"/>
          <w:highlight w:val="none"/>
          <w:lang w:val="en-US" w:eastAsia="zh-CN"/>
          <w14:textFill>
            <w14:solidFill>
              <w14:schemeClr w14:val="tx1"/>
            </w14:solidFill>
          </w14:textFill>
        </w:rPr>
        <w:t>整理发布全市现行有效的规范性文件20件，并在济宁市级、省级政府文件库统一发布</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w:t>
      </w:r>
    </w:p>
    <w:p w14:paraId="39FFF21C">
      <w:pPr>
        <w:keepNext w:val="0"/>
        <w:keepLines w:val="0"/>
        <w:pageBreakBefore w:val="0"/>
        <w:numPr>
          <w:ilvl w:val="0"/>
          <w:numId w:val="1"/>
        </w:numPr>
        <w:kinsoku/>
        <w:overflowPunct/>
        <w:topLinePunct w:val="0"/>
        <w:autoSpaceDE/>
        <w:autoSpaceDN/>
        <w:bidi w:val="0"/>
        <w:adjustRightInd/>
        <w:snapToGrid/>
        <w:spacing w:line="580" w:lineRule="exact"/>
        <w:ind w:right="-96" w:rightChars="-50" w:firstLine="624" w:firstLineChars="200"/>
        <w:textAlignment w:val="auto"/>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楷体简体"/>
          <w:b/>
          <w:color w:val="000000" w:themeColor="text1"/>
          <w:sz w:val="32"/>
          <w:szCs w:val="32"/>
          <w:highlight w:val="none"/>
          <w:lang w:val="en-US" w:eastAsia="zh-CN"/>
          <w14:textFill>
            <w14:solidFill>
              <w14:schemeClr w14:val="tx1"/>
            </w14:solidFill>
          </w14:textFill>
        </w:rPr>
        <w:t>优化</w:t>
      </w:r>
      <w:r>
        <w:rPr>
          <w:rFonts w:hint="eastAsia" w:ascii="Times New Roman" w:hAnsi="Times New Roman" w:eastAsia="方正楷体简体"/>
          <w:b/>
          <w:color w:val="000000" w:themeColor="text1"/>
          <w:sz w:val="32"/>
          <w:szCs w:val="32"/>
          <w:highlight w:val="none"/>
          <w14:textFill>
            <w14:solidFill>
              <w14:schemeClr w14:val="tx1"/>
            </w14:solidFill>
          </w14:textFill>
        </w:rPr>
        <w:t>政府信息公开平台</w:t>
      </w:r>
      <w:r>
        <w:rPr>
          <w:rFonts w:hint="eastAsia" w:ascii="Times New Roman" w:hAnsi="Times New Roman" w:eastAsia="方正楷体简体"/>
          <w:b/>
          <w:color w:val="000000" w:themeColor="text1"/>
          <w:sz w:val="32"/>
          <w:szCs w:val="32"/>
          <w:highlight w:val="none"/>
          <w:lang w:val="en-US" w:eastAsia="zh-CN"/>
          <w14:textFill>
            <w14:solidFill>
              <w14:schemeClr w14:val="tx1"/>
            </w14:solidFill>
          </w14:textFill>
        </w:rPr>
        <w:t>服务</w:t>
      </w:r>
    </w:p>
    <w:p w14:paraId="5AE0EB52">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default" w:ascii="Times New Roman" w:hAnsi="Times New Roman" w:eastAsia="方正仿宋简体"/>
          <w:b/>
          <w:strike w:val="0"/>
          <w:dstrike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宋体"/>
          <w:b/>
          <w:bCs/>
          <w:sz w:val="32"/>
          <w:szCs w:val="32"/>
          <w:highlight w:val="none"/>
          <w:lang w:val="en-US" w:eastAsia="zh-CN"/>
        </w:rPr>
        <w:t>2023年根据上级评估要求并结合我市实际，整理优化重大建设项目、行政规范性文件、财政信息、食品药品监督、社会救助、稳岗就业、养老服务、义务教育、公共文化服务等公开栏目十余个；对全市政务新媒体账号进行全面优化提质，</w:t>
      </w:r>
      <w:r>
        <w:rPr>
          <w:rFonts w:hint="eastAsia" w:ascii="Times New Roman" w:hAnsi="Times New Roman" w:eastAsia="方正仿宋简体" w:cs="方正仿宋简体"/>
          <w:b/>
          <w:color w:val="000000"/>
          <w:sz w:val="32"/>
          <w:szCs w:val="32"/>
          <w:highlight w:val="none"/>
        </w:rPr>
        <w:t>明确政务新媒体账号功能定位</w:t>
      </w:r>
      <w:r>
        <w:rPr>
          <w:rFonts w:hint="eastAsia" w:ascii="Times New Roman" w:hAnsi="Times New Roman" w:eastAsia="方正仿宋简体" w:cs="方正仿宋简体"/>
          <w:b/>
          <w:color w:val="000000"/>
          <w:sz w:val="32"/>
          <w:szCs w:val="32"/>
          <w:highlight w:val="none"/>
          <w:lang w:eastAsia="zh-CN"/>
        </w:rPr>
        <w:t>，</w:t>
      </w:r>
      <w:r>
        <w:rPr>
          <w:rFonts w:hint="eastAsia" w:ascii="Times New Roman" w:hAnsi="Times New Roman" w:eastAsia="方正仿宋简体" w:cs="方正仿宋简体"/>
          <w:b/>
          <w:color w:val="000000"/>
          <w:sz w:val="32"/>
          <w:szCs w:val="32"/>
          <w:highlight w:val="none"/>
        </w:rPr>
        <w:t>切实发挥政务新媒体</w:t>
      </w:r>
      <w:r>
        <w:rPr>
          <w:rFonts w:hint="eastAsia" w:ascii="Times New Roman" w:hAnsi="Times New Roman" w:eastAsia="方正仿宋简体" w:cs="方正仿宋简体"/>
          <w:b/>
          <w:color w:val="000000"/>
          <w:sz w:val="32"/>
          <w:szCs w:val="32"/>
          <w:highlight w:val="none"/>
          <w:lang w:val="en-US" w:eastAsia="zh-CN"/>
        </w:rPr>
        <w:t>政府信息公开</w:t>
      </w:r>
      <w:r>
        <w:rPr>
          <w:rFonts w:hint="eastAsia" w:ascii="Times New Roman" w:hAnsi="Times New Roman" w:eastAsia="方正仿宋简体" w:cs="方正仿宋简体"/>
          <w:b/>
          <w:color w:val="000000"/>
          <w:sz w:val="32"/>
          <w:szCs w:val="32"/>
          <w:highlight w:val="none"/>
        </w:rPr>
        <w:t>重要平台作用</w:t>
      </w:r>
      <w:r>
        <w:rPr>
          <w:rFonts w:hint="eastAsia" w:ascii="Times New Roman" w:hAnsi="Times New Roman" w:eastAsia="方正仿宋简体"/>
          <w:b/>
          <w:strike w:val="0"/>
          <w:dstrike w:val="0"/>
          <w:color w:val="000000" w:themeColor="text1"/>
          <w:sz w:val="32"/>
          <w:szCs w:val="32"/>
          <w:highlight w:val="none"/>
          <w:lang w:val="en-US" w:eastAsia="zh-CN"/>
          <w14:textFill>
            <w14:solidFill>
              <w14:schemeClr w14:val="tx1"/>
            </w14:solidFill>
          </w14:textFill>
        </w:rPr>
        <w:t>；同时在政府公报专栏发布2期2023年曲阜市人民政府公报。</w:t>
      </w:r>
    </w:p>
    <w:p w14:paraId="77003BA6">
      <w:pPr>
        <w:keepNext w:val="0"/>
        <w:keepLines w:val="0"/>
        <w:pageBreakBefore w:val="0"/>
        <w:numPr>
          <w:ilvl w:val="0"/>
          <w:numId w:val="1"/>
        </w:numPr>
        <w:kinsoku/>
        <w:overflowPunct/>
        <w:topLinePunct w:val="0"/>
        <w:autoSpaceDE/>
        <w:autoSpaceDN/>
        <w:bidi w:val="0"/>
        <w:adjustRightInd/>
        <w:snapToGrid/>
        <w:spacing w:line="580" w:lineRule="exact"/>
        <w:ind w:left="0" w:leftChars="0" w:right="-96" w:rightChars="-50" w:firstLine="624" w:firstLineChars="200"/>
        <w:textAlignment w:val="auto"/>
        <w:rPr>
          <w:rFonts w:hint="eastAsia" w:ascii="Times New Roman" w:hAnsi="Times New Roman" w:eastAsia="方正楷体简体"/>
          <w:b/>
          <w:color w:val="000000" w:themeColor="text1"/>
          <w:sz w:val="32"/>
          <w:szCs w:val="32"/>
          <w:highlight w:val="none"/>
          <w14:textFill>
            <w14:solidFill>
              <w14:schemeClr w14:val="tx1"/>
            </w14:solidFill>
          </w14:textFill>
        </w:rPr>
      </w:pPr>
      <w:r>
        <w:rPr>
          <w:rFonts w:hint="eastAsia" w:ascii="Times New Roman" w:hAnsi="Times New Roman" w:eastAsia="方正楷体简体"/>
          <w:b/>
          <w:color w:val="000000" w:themeColor="text1"/>
          <w:sz w:val="32"/>
          <w:szCs w:val="32"/>
          <w:highlight w:val="none"/>
          <w:lang w:val="en-US" w:eastAsia="zh-CN"/>
          <w14:textFill>
            <w14:solidFill>
              <w14:schemeClr w14:val="tx1"/>
            </w14:solidFill>
          </w14:textFill>
        </w:rPr>
        <w:t>持续强化</w:t>
      </w:r>
      <w:r>
        <w:rPr>
          <w:rFonts w:hint="eastAsia" w:ascii="Times New Roman" w:hAnsi="Times New Roman" w:eastAsia="方正楷体简体"/>
          <w:b/>
          <w:color w:val="000000" w:themeColor="text1"/>
          <w:sz w:val="32"/>
          <w:szCs w:val="32"/>
          <w:highlight w:val="none"/>
          <w14:textFill>
            <w14:solidFill>
              <w14:schemeClr w14:val="tx1"/>
            </w14:solidFill>
          </w14:textFill>
        </w:rPr>
        <w:t>监督保障</w:t>
      </w:r>
    </w:p>
    <w:p w14:paraId="7C69F02E">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仿宋简体"/>
          <w:b/>
          <w:color w:val="000000" w:themeColor="text1"/>
          <w:sz w:val="32"/>
          <w:szCs w:val="32"/>
          <w:highlight w:val="none"/>
          <w14:textFill>
            <w14:solidFill>
              <w14:schemeClr w14:val="tx1"/>
            </w14:solidFill>
          </w14:textFill>
        </w:rPr>
      </w:pPr>
      <w:r>
        <w:rPr>
          <w:rFonts w:hint="eastAsia" w:ascii="Times New Roman" w:hAnsi="Times New Roman" w:eastAsia="方正仿宋简体"/>
          <w:b/>
          <w:strike w:val="0"/>
          <w:dstrike w:val="0"/>
          <w:color w:val="000000" w:themeColor="text1"/>
          <w:sz w:val="32"/>
          <w:szCs w:val="32"/>
          <w:highlight w:val="none"/>
          <w:lang w:val="en-US" w:eastAsia="zh-CN"/>
          <w14:textFill>
            <w14:solidFill>
              <w14:schemeClr w14:val="tx1"/>
            </w14:solidFill>
          </w14:textFill>
        </w:rPr>
        <w:t>全年共开展专项培训2次，考核培训2次，累计参训160余人次，不断提高各镇街、有关部门政务公开工作人员政治站位，明确责任意识，拓展业务能力</w:t>
      </w:r>
      <w:r>
        <w:rPr>
          <w:rFonts w:hint="eastAsia" w:ascii="Times New Roman" w:hAnsi="Times New Roman" w:eastAsia="方正仿宋简体"/>
          <w:b/>
          <w:strike w:val="0"/>
          <w:dstrike w:val="0"/>
          <w:color w:val="000000" w:themeColor="text1"/>
          <w:sz w:val="32"/>
          <w:szCs w:val="32"/>
          <w:highlight w:val="none"/>
          <w:lang w:eastAsia="zh-CN"/>
          <w14:textFill>
            <w14:solidFill>
              <w14:schemeClr w14:val="tx1"/>
            </w14:solidFill>
          </w14:textFill>
        </w:rPr>
        <w:t>；坚持政务公开检查抓在日常、严在经常，</w:t>
      </w:r>
      <w:r>
        <w:rPr>
          <w:rFonts w:hint="eastAsia" w:ascii="Times New Roman" w:hAnsi="Times New Roman" w:eastAsia="方正仿宋简体"/>
          <w:b/>
          <w:strike w:val="0"/>
          <w:dstrike w:val="0"/>
          <w:color w:val="000000" w:themeColor="text1"/>
          <w:sz w:val="32"/>
          <w:szCs w:val="32"/>
          <w:highlight w:val="none"/>
          <w:lang w:val="en-US" w:eastAsia="zh-CN"/>
          <w14:textFill>
            <w14:solidFill>
              <w14:schemeClr w14:val="tx1"/>
            </w14:solidFill>
          </w14:textFill>
        </w:rPr>
        <w:t>定期</w:t>
      </w:r>
      <w:r>
        <w:rPr>
          <w:rFonts w:hint="eastAsia" w:ascii="Times New Roman" w:hAnsi="Times New Roman" w:eastAsia="方正仿宋简体"/>
          <w:b/>
          <w:strike w:val="0"/>
          <w:dstrike w:val="0"/>
          <w:color w:val="000000" w:themeColor="text1"/>
          <w:sz w:val="32"/>
          <w:szCs w:val="32"/>
          <w:highlight w:val="none"/>
          <w:lang w:eastAsia="zh-CN"/>
          <w14:textFill>
            <w14:solidFill>
              <w14:schemeClr w14:val="tx1"/>
            </w14:solidFill>
          </w14:textFill>
        </w:rPr>
        <w:t>对照政府信息公开</w:t>
      </w:r>
      <w:r>
        <w:rPr>
          <w:rFonts w:hint="eastAsia" w:ascii="Times New Roman" w:hAnsi="Times New Roman" w:eastAsia="方正仿宋简体"/>
          <w:b/>
          <w:strike w:val="0"/>
          <w:dstrike w:val="0"/>
          <w:color w:val="000000" w:themeColor="text1"/>
          <w:sz w:val="32"/>
          <w:szCs w:val="32"/>
          <w:highlight w:val="none"/>
          <w:lang w:val="en-US" w:eastAsia="zh-CN"/>
          <w14:textFill>
            <w14:solidFill>
              <w14:schemeClr w14:val="tx1"/>
            </w14:solidFill>
          </w14:textFill>
        </w:rPr>
        <w:t>重点工作要求</w:t>
      </w:r>
      <w:r>
        <w:rPr>
          <w:rFonts w:hint="eastAsia" w:ascii="Times New Roman" w:hAnsi="Times New Roman" w:eastAsia="方正仿宋简体"/>
          <w:b/>
          <w:strike w:val="0"/>
          <w:dstrike w:val="0"/>
          <w:color w:val="000000" w:themeColor="text1"/>
          <w:sz w:val="32"/>
          <w:szCs w:val="32"/>
          <w:highlight w:val="none"/>
          <w:lang w:eastAsia="zh-CN"/>
          <w14:textFill>
            <w14:solidFill>
              <w14:schemeClr w14:val="tx1"/>
            </w14:solidFill>
          </w14:textFill>
        </w:rPr>
        <w:t>，对</w:t>
      </w:r>
      <w:r>
        <w:rPr>
          <w:rFonts w:hint="eastAsia" w:ascii="Times New Roman" w:hAnsi="Times New Roman" w:eastAsia="方正仿宋简体"/>
          <w:b/>
          <w:strike w:val="0"/>
          <w:dstrike w:val="0"/>
          <w:color w:val="000000" w:themeColor="text1"/>
          <w:sz w:val="32"/>
          <w:szCs w:val="32"/>
          <w:highlight w:val="none"/>
          <w:lang w:val="en-US" w:eastAsia="zh-CN"/>
          <w14:textFill>
            <w14:solidFill>
              <w14:schemeClr w14:val="tx1"/>
            </w14:solidFill>
          </w14:textFill>
        </w:rPr>
        <w:t>各镇街、有关部门</w:t>
      </w:r>
      <w:r>
        <w:rPr>
          <w:rFonts w:hint="eastAsia" w:ascii="Times New Roman" w:hAnsi="Times New Roman" w:eastAsia="方正仿宋简体"/>
          <w:b/>
          <w:strike w:val="0"/>
          <w:dstrike w:val="0"/>
          <w:color w:val="000000" w:themeColor="text1"/>
          <w:sz w:val="32"/>
          <w:szCs w:val="32"/>
          <w:highlight w:val="none"/>
          <w:lang w:eastAsia="zh-CN"/>
          <w14:textFill>
            <w14:solidFill>
              <w14:schemeClr w14:val="tx1"/>
            </w14:solidFill>
          </w14:textFill>
        </w:rPr>
        <w:t>开展</w:t>
      </w:r>
      <w:r>
        <w:rPr>
          <w:rFonts w:hint="eastAsia" w:ascii="Times New Roman" w:hAnsi="Times New Roman" w:eastAsia="方正仿宋简体"/>
          <w:b/>
          <w:strike w:val="0"/>
          <w:dstrike w:val="0"/>
          <w:color w:val="000000" w:themeColor="text1"/>
          <w:sz w:val="32"/>
          <w:szCs w:val="32"/>
          <w:highlight w:val="none"/>
          <w:lang w:val="en-US" w:eastAsia="zh-CN"/>
          <w14:textFill>
            <w14:solidFill>
              <w14:schemeClr w14:val="tx1"/>
            </w14:solidFill>
          </w14:textFill>
        </w:rPr>
        <w:t>工作巡查</w:t>
      </w:r>
      <w:r>
        <w:rPr>
          <w:rFonts w:hint="eastAsia" w:ascii="Times New Roman" w:hAnsi="Times New Roman" w:eastAsia="方正仿宋简体"/>
          <w:b/>
          <w:strike w:val="0"/>
          <w:dstrike w:val="0"/>
          <w:color w:val="000000" w:themeColor="text1"/>
          <w:sz w:val="32"/>
          <w:szCs w:val="32"/>
          <w:highlight w:val="none"/>
          <w:lang w:eastAsia="zh-CN"/>
          <w14:textFill>
            <w14:solidFill>
              <w14:schemeClr w14:val="tx1"/>
            </w14:solidFill>
          </w14:textFill>
        </w:rPr>
        <w:t>，形成问题清单，</w:t>
      </w:r>
      <w:r>
        <w:rPr>
          <w:rFonts w:hint="eastAsia" w:ascii="Times New Roman" w:hAnsi="Times New Roman" w:eastAsia="方正仿宋简体" w:cs="宋体"/>
          <w:b/>
          <w:bCs/>
          <w:sz w:val="32"/>
          <w:szCs w:val="32"/>
          <w:highlight w:val="none"/>
          <w:lang w:val="en-US" w:eastAsia="zh-CN"/>
        </w:rPr>
        <w:t>通过下发通知、电话督促等方式，监督指导各镇街、有关部门按要求逐项解决。</w:t>
      </w:r>
    </w:p>
    <w:p w14:paraId="2E080321">
      <w:pPr>
        <w:keepNext w:val="0"/>
        <w:keepLines w:val="0"/>
        <w:pageBreakBefore w:val="0"/>
        <w:numPr>
          <w:ilvl w:val="0"/>
          <w:numId w:val="2"/>
        </w:numPr>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主动公开政府信息情况</w:t>
      </w:r>
    </w:p>
    <w:tbl>
      <w:tblPr>
        <w:tblStyle w:val="7"/>
        <w:tblW w:w="8824" w:type="dxa"/>
        <w:tblInd w:w="0" w:type="dxa"/>
        <w:tblLayout w:type="fixed"/>
        <w:tblCellMar>
          <w:top w:w="0" w:type="dxa"/>
          <w:left w:w="108" w:type="dxa"/>
          <w:bottom w:w="0" w:type="dxa"/>
          <w:right w:w="108" w:type="dxa"/>
        </w:tblCellMar>
      </w:tblPr>
      <w:tblGrid>
        <w:gridCol w:w="2206"/>
        <w:gridCol w:w="2206"/>
        <w:gridCol w:w="2206"/>
        <w:gridCol w:w="2206"/>
      </w:tblGrid>
      <w:tr w14:paraId="23656119">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770610A">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14:paraId="5286D18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4BEB6B">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rPr>
            </w:pPr>
            <w:r>
              <w:rPr>
                <w:rFonts w:hint="eastAsia" w:ascii="Times New Roman" w:hAnsi="Times New Roman" w:eastAsia="仿宋_GB2312" w:cs="宋体"/>
                <w:color w:val="000000"/>
                <w:kern w:val="0"/>
                <w:sz w:val="22"/>
                <w:szCs w:val="24"/>
              </w:rPr>
              <w:t>信息内容</w:t>
            </w:r>
          </w:p>
        </w:tc>
        <w:tc>
          <w:tcPr>
            <w:tcW w:w="2206" w:type="dxa"/>
            <w:tcBorders>
              <w:top w:val="nil"/>
              <w:left w:val="nil"/>
              <w:bottom w:val="single" w:color="auto" w:sz="8" w:space="0"/>
              <w:right w:val="single" w:color="auto" w:sz="8" w:space="0"/>
            </w:tcBorders>
            <w:shd w:val="clear" w:color="auto" w:fill="auto"/>
            <w:vAlign w:val="center"/>
          </w:tcPr>
          <w:p w14:paraId="0A92FFFD">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rPr>
            </w:pPr>
            <w:r>
              <w:rPr>
                <w:rFonts w:hint="eastAsia" w:ascii="Times New Roman" w:hAnsi="Times New Roman" w:eastAsia="仿宋_GB2312" w:cs="宋体"/>
                <w:color w:val="000000"/>
                <w:kern w:val="0"/>
                <w:sz w:val="22"/>
                <w:szCs w:val="24"/>
              </w:rPr>
              <w:t>本年制发件数</w:t>
            </w:r>
          </w:p>
        </w:tc>
        <w:tc>
          <w:tcPr>
            <w:tcW w:w="2206" w:type="dxa"/>
            <w:tcBorders>
              <w:top w:val="nil"/>
              <w:left w:val="nil"/>
              <w:bottom w:val="single" w:color="auto" w:sz="8" w:space="0"/>
              <w:right w:val="single" w:color="auto" w:sz="8" w:space="0"/>
            </w:tcBorders>
            <w:shd w:val="clear" w:color="auto" w:fill="auto"/>
            <w:vAlign w:val="center"/>
          </w:tcPr>
          <w:p w14:paraId="7588A73B">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rPr>
            </w:pPr>
            <w:r>
              <w:rPr>
                <w:rFonts w:hint="eastAsia" w:ascii="Times New Roman" w:hAnsi="Times New Roman" w:eastAsia="仿宋_GB2312" w:cs="宋体"/>
                <w:color w:val="000000"/>
                <w:kern w:val="0"/>
                <w:sz w:val="22"/>
                <w:szCs w:val="24"/>
              </w:rPr>
              <w:t>本年废止件数</w:t>
            </w:r>
          </w:p>
        </w:tc>
        <w:tc>
          <w:tcPr>
            <w:tcW w:w="2206" w:type="dxa"/>
            <w:tcBorders>
              <w:top w:val="nil"/>
              <w:left w:val="nil"/>
              <w:bottom w:val="single" w:color="auto" w:sz="8" w:space="0"/>
              <w:right w:val="single" w:color="auto" w:sz="8" w:space="0"/>
            </w:tcBorders>
            <w:shd w:val="clear" w:color="auto" w:fill="auto"/>
            <w:vAlign w:val="center"/>
          </w:tcPr>
          <w:p w14:paraId="37F9E3A0">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rPr>
            </w:pPr>
            <w:r>
              <w:rPr>
                <w:rFonts w:hint="eastAsia" w:ascii="Times New Roman" w:hAnsi="Times New Roman" w:eastAsia="仿宋_GB2312" w:cs="宋体"/>
                <w:color w:val="000000"/>
                <w:kern w:val="0"/>
                <w:sz w:val="22"/>
                <w:szCs w:val="24"/>
              </w:rPr>
              <w:t>现行有效件数</w:t>
            </w:r>
          </w:p>
        </w:tc>
      </w:tr>
      <w:tr w14:paraId="74717B4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BED6BFC">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rPr>
            </w:pPr>
            <w:r>
              <w:rPr>
                <w:rFonts w:hint="eastAsia" w:ascii="Times New Roman" w:hAnsi="Times New Roman" w:eastAsia="仿宋_GB2312" w:cs="宋体"/>
                <w:color w:val="000000"/>
                <w:kern w:val="0"/>
                <w:sz w:val="22"/>
                <w:szCs w:val="24"/>
              </w:rPr>
              <w:t>规章</w:t>
            </w:r>
          </w:p>
        </w:tc>
        <w:tc>
          <w:tcPr>
            <w:tcW w:w="2206" w:type="dxa"/>
            <w:tcBorders>
              <w:top w:val="nil"/>
              <w:left w:val="nil"/>
              <w:bottom w:val="single" w:color="auto" w:sz="8" w:space="0"/>
              <w:right w:val="single" w:color="auto" w:sz="8" w:space="0"/>
            </w:tcBorders>
            <w:shd w:val="clear" w:color="auto" w:fill="auto"/>
            <w:vAlign w:val="center"/>
          </w:tcPr>
          <w:p w14:paraId="5B17E3AD">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Times New Roman" w:hAnsi="Times New Roman" w:eastAsia="仿宋_GB2312" w:cs="宋体"/>
                <w:color w:val="auto"/>
                <w:kern w:val="0"/>
                <w:sz w:val="22"/>
                <w:szCs w:val="24"/>
                <w:lang w:eastAsia="zh-CN"/>
              </w:rPr>
            </w:pPr>
            <w:r>
              <w:rPr>
                <w:rFonts w:hint="eastAsia" w:ascii="Times New Roman" w:hAnsi="Times New Roman" w:eastAsia="仿宋_GB2312" w:cs="宋体"/>
                <w:color w:val="auto"/>
                <w:kern w:val="0"/>
                <w:sz w:val="22"/>
                <w:szCs w:val="24"/>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908387A">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auto"/>
                <w:kern w:val="0"/>
                <w:sz w:val="22"/>
                <w:szCs w:val="24"/>
              </w:rPr>
            </w:pPr>
            <w:r>
              <w:rPr>
                <w:rFonts w:hint="eastAsia" w:ascii="Times New Roman" w:hAnsi="Times New Roman" w:eastAsia="仿宋_GB2312" w:cs="宋体"/>
                <w:color w:val="auto"/>
                <w:kern w:val="0"/>
                <w:sz w:val="22"/>
                <w:szCs w:val="24"/>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7EAC989B">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Calibri"/>
                <w:color w:val="auto"/>
                <w:kern w:val="0"/>
                <w:sz w:val="22"/>
                <w:szCs w:val="24"/>
              </w:rPr>
            </w:pPr>
            <w:r>
              <w:rPr>
                <w:rFonts w:hint="eastAsia" w:ascii="Times New Roman" w:hAnsi="Times New Roman" w:eastAsia="仿宋_GB2312" w:cs="宋体"/>
                <w:color w:val="auto"/>
                <w:kern w:val="0"/>
                <w:sz w:val="22"/>
                <w:szCs w:val="24"/>
                <w:lang w:val="en-US" w:eastAsia="zh-CN"/>
              </w:rPr>
              <w:t>0</w:t>
            </w:r>
          </w:p>
        </w:tc>
      </w:tr>
      <w:tr w14:paraId="560F1AD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2F03B79">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rPr>
            </w:pPr>
            <w:r>
              <w:rPr>
                <w:rFonts w:hint="eastAsia" w:ascii="Times New Roman" w:hAnsi="Times New Roman" w:eastAsia="仿宋_GB2312" w:cs="宋体"/>
                <w:color w:val="000000"/>
                <w:kern w:val="0"/>
                <w:sz w:val="22"/>
                <w:szCs w:val="24"/>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181667EB">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Times New Roman" w:hAnsi="Times New Roman" w:eastAsia="仿宋_GB2312" w:cs="宋体"/>
                <w:color w:val="auto"/>
                <w:kern w:val="0"/>
                <w:sz w:val="22"/>
                <w:szCs w:val="24"/>
                <w:lang w:eastAsia="zh-CN"/>
              </w:rPr>
            </w:pPr>
            <w:r>
              <w:rPr>
                <w:rFonts w:hint="eastAsia" w:eastAsia="仿宋_GB2312" w:cs="宋体"/>
                <w:color w:val="auto"/>
                <w:kern w:val="0"/>
                <w:sz w:val="22"/>
                <w:szCs w:val="24"/>
                <w:lang w:val="en-US" w:eastAsia="zh-CN"/>
              </w:rPr>
              <w:t>4</w:t>
            </w:r>
          </w:p>
        </w:tc>
        <w:tc>
          <w:tcPr>
            <w:tcW w:w="2206" w:type="dxa"/>
            <w:tcBorders>
              <w:top w:val="nil"/>
              <w:left w:val="nil"/>
              <w:bottom w:val="single" w:color="auto" w:sz="8" w:space="0"/>
              <w:right w:val="single" w:color="auto" w:sz="8" w:space="0"/>
            </w:tcBorders>
            <w:shd w:val="clear" w:color="auto" w:fill="auto"/>
            <w:vAlign w:val="center"/>
          </w:tcPr>
          <w:p w14:paraId="1ACD2C27">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Times New Roman" w:hAnsi="Times New Roman" w:eastAsia="仿宋_GB2312" w:cs="宋体"/>
                <w:color w:val="auto"/>
                <w:kern w:val="0"/>
                <w:sz w:val="22"/>
                <w:szCs w:val="24"/>
                <w:lang w:eastAsia="zh-CN"/>
              </w:rPr>
            </w:pPr>
            <w:r>
              <w:rPr>
                <w:rFonts w:hint="eastAsia" w:ascii="Times New Roman" w:hAnsi="Times New Roman" w:eastAsia="仿宋_GB2312" w:cs="宋体"/>
                <w:color w:val="auto"/>
                <w:kern w:val="0"/>
                <w:sz w:val="22"/>
                <w:szCs w:val="24"/>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B87EA8A">
            <w:pPr>
              <w:keepNext w:val="0"/>
              <w:keepLines w:val="0"/>
              <w:pageBreakBefore w:val="0"/>
              <w:widowControl/>
              <w:kinsoku/>
              <w:overflowPunct/>
              <w:topLinePunct w:val="0"/>
              <w:autoSpaceDE/>
              <w:autoSpaceDN/>
              <w:bidi w:val="0"/>
              <w:adjustRightInd/>
              <w:snapToGrid/>
              <w:spacing w:line="580" w:lineRule="exact"/>
              <w:jc w:val="center"/>
              <w:textAlignment w:val="auto"/>
              <w:rPr>
                <w:rFonts w:hint="default" w:ascii="Times New Roman" w:hAnsi="Times New Roman" w:eastAsia="仿宋_GB2312" w:cs="宋体"/>
                <w:color w:val="auto"/>
                <w:kern w:val="0"/>
                <w:sz w:val="22"/>
                <w:szCs w:val="24"/>
                <w:lang w:val="en-US" w:eastAsia="zh-CN"/>
              </w:rPr>
            </w:pPr>
            <w:r>
              <w:rPr>
                <w:rFonts w:hint="eastAsia" w:eastAsia="仿宋_GB2312" w:cs="宋体"/>
                <w:color w:val="auto"/>
                <w:kern w:val="0"/>
                <w:sz w:val="22"/>
                <w:szCs w:val="24"/>
                <w:lang w:val="en-US" w:eastAsia="zh-CN"/>
              </w:rPr>
              <w:t>20</w:t>
            </w:r>
            <w:bookmarkStart w:id="11" w:name="_GoBack"/>
            <w:bookmarkEnd w:id="11"/>
          </w:p>
        </w:tc>
      </w:tr>
      <w:tr w14:paraId="71DDDCF8">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8AD530E">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s="宋体"/>
                <w:color w:val="000000"/>
                <w:kern w:val="0"/>
                <w:sz w:val="22"/>
                <w:szCs w:val="24"/>
              </w:rPr>
            </w:pPr>
            <w:r>
              <w:rPr>
                <w:rFonts w:hint="eastAsia" w:ascii="Times New Roman" w:hAnsi="Times New Roman" w:eastAsia="黑体" w:cs="宋体"/>
                <w:color w:val="000000"/>
                <w:kern w:val="0"/>
                <w:sz w:val="22"/>
                <w:szCs w:val="24"/>
              </w:rPr>
              <w:t>第二十条第（五）项</w:t>
            </w:r>
          </w:p>
        </w:tc>
      </w:tr>
      <w:tr w14:paraId="03A8F56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61D36DC">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rPr>
            </w:pPr>
            <w:r>
              <w:rPr>
                <w:rFonts w:hint="eastAsia" w:ascii="Times New Roman" w:hAnsi="Times New Roman" w:eastAsia="仿宋_GB2312" w:cs="宋体"/>
                <w:color w:val="000000"/>
                <w:kern w:val="0"/>
                <w:sz w:val="22"/>
                <w:szCs w:val="24"/>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214A66">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rPr>
            </w:pPr>
            <w:r>
              <w:rPr>
                <w:rFonts w:hint="eastAsia" w:ascii="Times New Roman" w:hAnsi="Times New Roman" w:eastAsia="仿宋_GB2312" w:cs="宋体"/>
                <w:color w:val="000000"/>
                <w:kern w:val="0"/>
                <w:sz w:val="22"/>
                <w:szCs w:val="24"/>
              </w:rPr>
              <w:t>本年处理决定数量</w:t>
            </w:r>
          </w:p>
        </w:tc>
      </w:tr>
      <w:tr w14:paraId="0D21A15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1E04419">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rPr>
            </w:pPr>
            <w:r>
              <w:rPr>
                <w:rFonts w:hint="eastAsia" w:ascii="Times New Roman" w:hAnsi="Times New Roman" w:eastAsia="仿宋_GB2312" w:cs="宋体"/>
                <w:color w:val="000000"/>
                <w:kern w:val="0"/>
                <w:sz w:val="22"/>
                <w:szCs w:val="24"/>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0D0FD79">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Times New Roman" w:hAnsi="Times New Roman" w:eastAsia="仿宋_GB2312" w:cs="Calibri"/>
                <w:color w:val="auto"/>
                <w:kern w:val="0"/>
                <w:sz w:val="22"/>
                <w:szCs w:val="24"/>
                <w:lang w:val="en-US" w:eastAsia="zh-CN"/>
              </w:rPr>
            </w:pPr>
            <w:r>
              <w:rPr>
                <w:rFonts w:hint="eastAsia" w:ascii="Times New Roman" w:hAnsi="Times New Roman" w:eastAsia="仿宋_GB2312" w:cs="Calibri"/>
                <w:color w:val="auto"/>
                <w:kern w:val="0"/>
                <w:sz w:val="22"/>
                <w:szCs w:val="24"/>
                <w:highlight w:val="none"/>
                <w:lang w:val="en-US" w:eastAsia="zh-CN"/>
              </w:rPr>
              <w:t>0</w:t>
            </w:r>
          </w:p>
        </w:tc>
      </w:tr>
      <w:tr w14:paraId="57F49E0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0EFCD62">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s="宋体"/>
                <w:color w:val="auto"/>
                <w:kern w:val="0"/>
                <w:sz w:val="22"/>
                <w:szCs w:val="24"/>
              </w:rPr>
            </w:pPr>
            <w:r>
              <w:rPr>
                <w:rFonts w:hint="eastAsia" w:ascii="Times New Roman" w:hAnsi="Times New Roman" w:eastAsia="黑体" w:cs="宋体"/>
                <w:color w:val="auto"/>
                <w:kern w:val="0"/>
                <w:sz w:val="22"/>
                <w:szCs w:val="24"/>
              </w:rPr>
              <w:t>第二十条第（六）项</w:t>
            </w:r>
          </w:p>
        </w:tc>
      </w:tr>
      <w:tr w14:paraId="5933C2A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B5ED14">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rPr>
            </w:pPr>
            <w:r>
              <w:rPr>
                <w:rFonts w:hint="eastAsia" w:ascii="Times New Roman" w:hAnsi="Times New Roman" w:eastAsia="仿宋_GB2312" w:cs="宋体"/>
                <w:color w:val="000000"/>
                <w:kern w:val="0"/>
                <w:sz w:val="22"/>
                <w:szCs w:val="24"/>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8F52CA3">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auto"/>
                <w:kern w:val="0"/>
                <w:sz w:val="22"/>
                <w:szCs w:val="24"/>
              </w:rPr>
            </w:pPr>
            <w:r>
              <w:rPr>
                <w:rFonts w:hint="eastAsia" w:ascii="Times New Roman" w:hAnsi="Times New Roman" w:eastAsia="仿宋_GB2312" w:cs="宋体"/>
                <w:color w:val="auto"/>
                <w:kern w:val="0"/>
                <w:sz w:val="22"/>
                <w:szCs w:val="24"/>
              </w:rPr>
              <w:t>本年处理决定数量</w:t>
            </w:r>
          </w:p>
        </w:tc>
      </w:tr>
      <w:tr w14:paraId="13EEBA8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E91E89B">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rPr>
            </w:pPr>
            <w:r>
              <w:rPr>
                <w:rFonts w:hint="eastAsia" w:ascii="Times New Roman" w:hAnsi="Times New Roman" w:eastAsia="仿宋_GB2312" w:cs="宋体"/>
                <w:color w:val="000000"/>
                <w:kern w:val="0"/>
                <w:sz w:val="22"/>
                <w:szCs w:val="24"/>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9015E29">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Times New Roman" w:hAnsi="Times New Roman" w:eastAsia="仿宋_GB2312" w:cs="Calibri"/>
                <w:color w:val="auto"/>
                <w:kern w:val="0"/>
                <w:sz w:val="22"/>
                <w:szCs w:val="24"/>
                <w:highlight w:val="none"/>
                <w:lang w:eastAsia="zh-CN"/>
              </w:rPr>
            </w:pPr>
            <w:r>
              <w:rPr>
                <w:rFonts w:hint="eastAsia" w:ascii="Times New Roman" w:hAnsi="Times New Roman" w:eastAsia="仿宋_GB2312" w:cs="Calibri"/>
                <w:color w:val="auto"/>
                <w:kern w:val="0"/>
                <w:sz w:val="22"/>
                <w:szCs w:val="24"/>
                <w:highlight w:val="none"/>
                <w:lang w:val="en-US" w:eastAsia="zh-CN"/>
              </w:rPr>
              <w:t>0</w:t>
            </w:r>
          </w:p>
        </w:tc>
      </w:tr>
      <w:tr w14:paraId="5FBCBAD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9D4714D">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rPr>
            </w:pPr>
            <w:r>
              <w:rPr>
                <w:rFonts w:hint="eastAsia" w:ascii="Times New Roman" w:hAnsi="Times New Roman" w:eastAsia="仿宋_GB2312" w:cs="宋体"/>
                <w:color w:val="000000"/>
                <w:kern w:val="0"/>
                <w:sz w:val="22"/>
                <w:szCs w:val="24"/>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7A2438A">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Times New Roman" w:hAnsi="Times New Roman" w:eastAsia="仿宋_GB2312" w:cs="Calibri"/>
                <w:color w:val="auto"/>
                <w:kern w:val="0"/>
                <w:sz w:val="22"/>
                <w:szCs w:val="24"/>
                <w:highlight w:val="none"/>
                <w:lang w:eastAsia="zh-CN"/>
              </w:rPr>
            </w:pPr>
            <w:r>
              <w:rPr>
                <w:rFonts w:hint="eastAsia" w:ascii="Times New Roman" w:hAnsi="Times New Roman" w:eastAsia="仿宋_GB2312" w:cs="Calibri"/>
                <w:color w:val="auto"/>
                <w:kern w:val="0"/>
                <w:sz w:val="22"/>
                <w:szCs w:val="24"/>
                <w:highlight w:val="none"/>
                <w:lang w:val="en-US" w:eastAsia="zh-CN"/>
              </w:rPr>
              <w:t>0</w:t>
            </w:r>
          </w:p>
        </w:tc>
      </w:tr>
      <w:tr w14:paraId="6361372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06ED48D">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s="宋体"/>
                <w:color w:val="auto"/>
                <w:kern w:val="0"/>
                <w:sz w:val="22"/>
                <w:szCs w:val="24"/>
              </w:rPr>
            </w:pPr>
            <w:r>
              <w:rPr>
                <w:rFonts w:hint="eastAsia" w:ascii="Times New Roman" w:hAnsi="Times New Roman" w:eastAsia="黑体" w:cs="宋体"/>
                <w:color w:val="auto"/>
                <w:kern w:val="0"/>
                <w:sz w:val="22"/>
                <w:szCs w:val="24"/>
              </w:rPr>
              <w:t>第二十条第（八）项</w:t>
            </w:r>
          </w:p>
        </w:tc>
      </w:tr>
      <w:tr w14:paraId="28FC992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FF3B4C">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rPr>
            </w:pPr>
            <w:r>
              <w:rPr>
                <w:rFonts w:hint="eastAsia" w:ascii="Times New Roman" w:hAnsi="Times New Roman" w:eastAsia="仿宋_GB2312" w:cs="宋体"/>
                <w:color w:val="000000"/>
                <w:kern w:val="0"/>
                <w:sz w:val="22"/>
                <w:szCs w:val="24"/>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E634EC">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auto"/>
                <w:kern w:val="0"/>
                <w:sz w:val="22"/>
                <w:szCs w:val="24"/>
              </w:rPr>
            </w:pPr>
            <w:r>
              <w:rPr>
                <w:rFonts w:hint="eastAsia" w:ascii="Times New Roman" w:hAnsi="Times New Roman" w:eastAsia="仿宋_GB2312" w:cs="宋体"/>
                <w:color w:val="auto"/>
                <w:kern w:val="0"/>
                <w:sz w:val="22"/>
                <w:szCs w:val="24"/>
              </w:rPr>
              <w:t>本年收费金额（单位：万元）</w:t>
            </w:r>
          </w:p>
        </w:tc>
      </w:tr>
      <w:tr w14:paraId="55321F8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ADEF4DF">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rPr>
            </w:pPr>
            <w:r>
              <w:rPr>
                <w:rFonts w:hint="eastAsia" w:ascii="Times New Roman" w:hAnsi="Times New Roman" w:eastAsia="仿宋_GB2312" w:cs="宋体"/>
                <w:color w:val="000000"/>
                <w:kern w:val="0"/>
                <w:sz w:val="22"/>
                <w:szCs w:val="24"/>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01B67E7">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Times New Roman" w:hAnsi="Times New Roman" w:eastAsia="仿宋_GB2312" w:cs="Calibri"/>
                <w:color w:val="auto"/>
                <w:kern w:val="0"/>
                <w:sz w:val="22"/>
                <w:szCs w:val="24"/>
                <w:lang w:eastAsia="zh-CN"/>
              </w:rPr>
            </w:pPr>
            <w:r>
              <w:rPr>
                <w:rFonts w:hint="eastAsia" w:ascii="Times New Roman" w:hAnsi="Times New Roman" w:eastAsia="仿宋_GB2312" w:cs="Calibri"/>
                <w:color w:val="auto"/>
                <w:kern w:val="0"/>
                <w:sz w:val="22"/>
                <w:szCs w:val="24"/>
                <w:lang w:val="en-US" w:eastAsia="zh-CN"/>
              </w:rPr>
              <w:t>0</w:t>
            </w:r>
          </w:p>
        </w:tc>
      </w:tr>
    </w:tbl>
    <w:p w14:paraId="51DAB17B">
      <w:pPr>
        <w:keepNext w:val="0"/>
        <w:keepLines w:val="0"/>
        <w:pageBreakBefore w:val="0"/>
        <w:numPr>
          <w:ilvl w:val="0"/>
          <w:numId w:val="0"/>
        </w:numPr>
        <w:kinsoku/>
        <w:overflowPunct/>
        <w:topLinePunct w:val="0"/>
        <w:autoSpaceDE/>
        <w:autoSpaceDN/>
        <w:bidi w:val="0"/>
        <w:adjustRightInd/>
        <w:snapToGrid/>
        <w:spacing w:line="580" w:lineRule="exact"/>
        <w:ind w:right="-96" w:rightChars="-50"/>
        <w:textAlignment w:val="auto"/>
        <w:rPr>
          <w:rFonts w:hint="eastAsia" w:ascii="Times New Roman" w:hAnsi="Times New Roman" w:eastAsia="方正黑体简体"/>
          <w:b/>
          <w:color w:val="000000" w:themeColor="text1"/>
          <w:sz w:val="32"/>
          <w:szCs w:val="32"/>
          <w14:textFill>
            <w14:solidFill>
              <w14:schemeClr w14:val="tx1"/>
            </w14:solidFill>
          </w14:textFill>
        </w:rPr>
      </w:pPr>
    </w:p>
    <w:p w14:paraId="181F7752">
      <w:pPr>
        <w:keepNext w:val="0"/>
        <w:keepLines w:val="0"/>
        <w:pageBreakBefore w:val="0"/>
        <w:numPr>
          <w:ilvl w:val="0"/>
          <w:numId w:val="2"/>
        </w:numPr>
        <w:kinsoku/>
        <w:overflowPunct/>
        <w:topLinePunct w:val="0"/>
        <w:autoSpaceDE/>
        <w:autoSpaceDN/>
        <w:bidi w:val="0"/>
        <w:adjustRightInd/>
        <w:snapToGrid/>
        <w:spacing w:before="62" w:beforeLines="10" w:after="62" w:afterLines="10" w:line="580" w:lineRule="exact"/>
        <w:ind w:left="0" w:leftChars="0" w:firstLine="624" w:firstLineChars="200"/>
        <w:textAlignment w:val="auto"/>
        <w:rPr>
          <w:rFonts w:hint="eastAsia" w:ascii="Times New Roman" w:hAnsi="Times New Roman" w:eastAsia="方正黑体简体"/>
          <w:b/>
          <w:sz w:val="32"/>
          <w:szCs w:val="32"/>
        </w:rPr>
      </w:pPr>
      <w:r>
        <w:rPr>
          <w:rFonts w:hint="eastAsia" w:ascii="Times New Roman" w:hAnsi="Times New Roman" w:eastAsia="方正黑体简体"/>
          <w:b/>
          <w:sz w:val="32"/>
          <w:szCs w:val="32"/>
        </w:rPr>
        <w:t>收到和处理政府信息公开申请情况</w:t>
      </w:r>
    </w:p>
    <w:tbl>
      <w:tblPr>
        <w:tblStyle w:val="7"/>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4E264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49B9AEE2">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楷体_GB2312"/>
                <w:color w:val="auto"/>
                <w:kern w:val="0"/>
                <w:szCs w:val="21"/>
                <w:highlight w:val="none"/>
              </w:rPr>
            </w:pPr>
            <w:r>
              <w:rPr>
                <w:rFonts w:hint="eastAsia" w:ascii="Times New Roman" w:hAnsi="Times New Roman" w:eastAsia="楷体_GB2312"/>
                <w:color w:val="auto"/>
                <w:kern w:val="0"/>
                <w:szCs w:val="21"/>
                <w:highlight w:val="none"/>
              </w:rPr>
              <w:t>（本列数据的勾稽关系为：第一项加第二项之和，</w:t>
            </w:r>
          </w:p>
          <w:p w14:paraId="4D30A667">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olor w:val="auto"/>
                <w:szCs w:val="21"/>
                <w:highlight w:val="none"/>
              </w:rPr>
            </w:pPr>
            <w:r>
              <w:rPr>
                <w:rFonts w:hint="eastAsia" w:ascii="Times New Roman" w:hAnsi="Times New Roman" w:eastAsia="楷体_GB2312"/>
                <w:color w:val="auto"/>
                <w:kern w:val="0"/>
                <w:szCs w:val="21"/>
                <w:highlight w:val="none"/>
              </w:rPr>
              <w:t>等于第三项加第四项之和）</w:t>
            </w:r>
          </w:p>
        </w:tc>
        <w:tc>
          <w:tcPr>
            <w:tcW w:w="4448" w:type="dxa"/>
            <w:gridSpan w:val="10"/>
            <w:shd w:val="clear" w:color="auto" w:fill="auto"/>
            <w:tcMar>
              <w:left w:w="108" w:type="dxa"/>
              <w:right w:w="108" w:type="dxa"/>
            </w:tcMar>
            <w:vAlign w:val="center"/>
          </w:tcPr>
          <w:p w14:paraId="515C1A2E">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申请人情况</w:t>
            </w:r>
          </w:p>
        </w:tc>
      </w:tr>
      <w:tr w14:paraId="13600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627B2211">
            <w:pPr>
              <w:keepNext w:val="0"/>
              <w:keepLines w:val="0"/>
              <w:pageBreakBefore w:val="0"/>
              <w:kinsoku/>
              <w:overflowPunct/>
              <w:topLinePunct w:val="0"/>
              <w:autoSpaceDE/>
              <w:autoSpaceDN/>
              <w:bidi w:val="0"/>
              <w:adjustRightInd/>
              <w:snapToGrid/>
              <w:spacing w:line="580" w:lineRule="exact"/>
              <w:jc w:val="center"/>
              <w:textAlignment w:val="auto"/>
              <w:rPr>
                <w:rFonts w:ascii="Times New Roman" w:hAnsi="Times New Roman" w:eastAsia="仿宋_GB2312"/>
                <w:color w:val="auto"/>
                <w:szCs w:val="21"/>
                <w:highlight w:val="none"/>
              </w:rPr>
            </w:pPr>
          </w:p>
        </w:tc>
        <w:tc>
          <w:tcPr>
            <w:tcW w:w="747" w:type="dxa"/>
            <w:vMerge w:val="restart"/>
            <w:shd w:val="clear" w:color="auto" w:fill="auto"/>
            <w:tcMar>
              <w:left w:w="108" w:type="dxa"/>
              <w:right w:w="108" w:type="dxa"/>
            </w:tcMar>
            <w:vAlign w:val="center"/>
          </w:tcPr>
          <w:p w14:paraId="241729A8">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自然人</w:t>
            </w:r>
          </w:p>
        </w:tc>
        <w:tc>
          <w:tcPr>
            <w:tcW w:w="3000" w:type="dxa"/>
            <w:gridSpan w:val="7"/>
            <w:shd w:val="clear" w:color="auto" w:fill="auto"/>
            <w:tcMar>
              <w:left w:w="108" w:type="dxa"/>
              <w:right w:w="108" w:type="dxa"/>
            </w:tcMar>
            <w:vAlign w:val="center"/>
          </w:tcPr>
          <w:p w14:paraId="4C7A17E0">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法人或其他组织</w:t>
            </w:r>
          </w:p>
        </w:tc>
        <w:tc>
          <w:tcPr>
            <w:tcW w:w="701" w:type="dxa"/>
            <w:gridSpan w:val="2"/>
            <w:vMerge w:val="restart"/>
            <w:shd w:val="clear" w:color="auto" w:fill="auto"/>
            <w:tcMar>
              <w:left w:w="108" w:type="dxa"/>
              <w:right w:w="108" w:type="dxa"/>
            </w:tcMar>
            <w:vAlign w:val="center"/>
          </w:tcPr>
          <w:p w14:paraId="119F3E92">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总计</w:t>
            </w:r>
          </w:p>
        </w:tc>
      </w:tr>
      <w:tr w14:paraId="065CC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3E6FA3ED">
            <w:pPr>
              <w:keepNext w:val="0"/>
              <w:keepLines w:val="0"/>
              <w:pageBreakBefore w:val="0"/>
              <w:kinsoku/>
              <w:overflowPunct/>
              <w:topLinePunct w:val="0"/>
              <w:autoSpaceDE/>
              <w:autoSpaceDN/>
              <w:bidi w:val="0"/>
              <w:adjustRightInd/>
              <w:snapToGrid/>
              <w:spacing w:line="580" w:lineRule="exact"/>
              <w:jc w:val="center"/>
              <w:textAlignment w:val="auto"/>
              <w:rPr>
                <w:rFonts w:ascii="Times New Roman" w:hAnsi="Times New Roman" w:eastAsia="仿宋_GB2312"/>
                <w:color w:val="auto"/>
                <w:szCs w:val="21"/>
                <w:highlight w:val="none"/>
              </w:rPr>
            </w:pPr>
          </w:p>
        </w:tc>
        <w:tc>
          <w:tcPr>
            <w:tcW w:w="747" w:type="dxa"/>
            <w:vMerge w:val="continue"/>
            <w:shd w:val="clear" w:color="auto" w:fill="auto"/>
            <w:tcMar>
              <w:left w:w="108" w:type="dxa"/>
              <w:right w:w="108" w:type="dxa"/>
            </w:tcMar>
            <w:vAlign w:val="center"/>
          </w:tcPr>
          <w:p w14:paraId="307165DB">
            <w:pPr>
              <w:keepNext w:val="0"/>
              <w:keepLines w:val="0"/>
              <w:pageBreakBefore w:val="0"/>
              <w:kinsoku/>
              <w:overflowPunct/>
              <w:topLinePunct w:val="0"/>
              <w:autoSpaceDE/>
              <w:autoSpaceDN/>
              <w:bidi w:val="0"/>
              <w:adjustRightInd/>
              <w:snapToGrid/>
              <w:spacing w:line="580" w:lineRule="exact"/>
              <w:jc w:val="center"/>
              <w:textAlignment w:val="auto"/>
              <w:rPr>
                <w:rFonts w:ascii="Times New Roman" w:hAnsi="Times New Roman" w:eastAsia="黑体"/>
                <w:color w:val="auto"/>
                <w:szCs w:val="21"/>
                <w:highlight w:val="none"/>
              </w:rPr>
            </w:pPr>
          </w:p>
        </w:tc>
        <w:tc>
          <w:tcPr>
            <w:tcW w:w="540" w:type="dxa"/>
            <w:gridSpan w:val="2"/>
            <w:shd w:val="clear" w:color="auto" w:fill="auto"/>
            <w:tcMar>
              <w:left w:w="108" w:type="dxa"/>
              <w:right w:w="108" w:type="dxa"/>
            </w:tcMar>
            <w:vAlign w:val="center"/>
          </w:tcPr>
          <w:p w14:paraId="4FF6034B">
            <w:pPr>
              <w:keepNext w:val="0"/>
              <w:keepLines w:val="0"/>
              <w:pageBreakBefore w:val="0"/>
              <w:widowControl/>
              <w:kinsoku/>
              <w:overflowPunct/>
              <w:topLinePunct w:val="0"/>
              <w:autoSpaceDE/>
              <w:autoSpaceDN/>
              <w:bidi w:val="0"/>
              <w:adjustRightInd/>
              <w:snapToGrid/>
              <w:spacing w:line="580" w:lineRule="exact"/>
              <w:ind w:left="-96" w:leftChars="-51" w:right="-97" w:rightChars="-51" w:hanging="1"/>
              <w:jc w:val="center"/>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商业企业</w:t>
            </w:r>
          </w:p>
        </w:tc>
        <w:tc>
          <w:tcPr>
            <w:tcW w:w="540" w:type="dxa"/>
            <w:gridSpan w:val="2"/>
            <w:shd w:val="clear" w:color="auto" w:fill="auto"/>
            <w:tcMar>
              <w:left w:w="108" w:type="dxa"/>
              <w:right w:w="108" w:type="dxa"/>
            </w:tcMar>
            <w:vAlign w:val="center"/>
          </w:tcPr>
          <w:p w14:paraId="1F170110">
            <w:pPr>
              <w:keepNext w:val="0"/>
              <w:keepLines w:val="0"/>
              <w:pageBreakBefore w:val="0"/>
              <w:widowControl/>
              <w:kinsoku/>
              <w:overflowPunct/>
              <w:topLinePunct w:val="0"/>
              <w:autoSpaceDE/>
              <w:autoSpaceDN/>
              <w:bidi w:val="0"/>
              <w:adjustRightInd/>
              <w:snapToGrid/>
              <w:spacing w:line="580" w:lineRule="exact"/>
              <w:ind w:left="-97" w:leftChars="-51" w:right="-97" w:rightChars="-51"/>
              <w:jc w:val="center"/>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科研机构</w:t>
            </w:r>
          </w:p>
        </w:tc>
        <w:tc>
          <w:tcPr>
            <w:tcW w:w="720" w:type="dxa"/>
            <w:shd w:val="clear" w:color="auto" w:fill="auto"/>
            <w:tcMar>
              <w:left w:w="108" w:type="dxa"/>
              <w:right w:w="108" w:type="dxa"/>
            </w:tcMar>
            <w:vAlign w:val="center"/>
          </w:tcPr>
          <w:p w14:paraId="1F10AA6D">
            <w:pPr>
              <w:keepNext w:val="0"/>
              <w:keepLines w:val="0"/>
              <w:pageBreakBefore w:val="0"/>
              <w:widowControl/>
              <w:kinsoku/>
              <w:overflowPunct/>
              <w:topLinePunct w:val="0"/>
              <w:autoSpaceDE/>
              <w:autoSpaceDN/>
              <w:bidi w:val="0"/>
              <w:adjustRightInd/>
              <w:snapToGrid/>
              <w:spacing w:line="580" w:lineRule="exact"/>
              <w:ind w:left="-97" w:leftChars="-51" w:right="-97" w:rightChars="-51"/>
              <w:jc w:val="center"/>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社会公益组织</w:t>
            </w:r>
          </w:p>
        </w:tc>
        <w:tc>
          <w:tcPr>
            <w:tcW w:w="675" w:type="dxa"/>
            <w:shd w:val="clear" w:color="auto" w:fill="auto"/>
            <w:tcMar>
              <w:left w:w="108" w:type="dxa"/>
              <w:right w:w="108" w:type="dxa"/>
            </w:tcMar>
            <w:vAlign w:val="center"/>
          </w:tcPr>
          <w:p w14:paraId="4099B9D4">
            <w:pPr>
              <w:keepNext w:val="0"/>
              <w:keepLines w:val="0"/>
              <w:pageBreakBefore w:val="0"/>
              <w:widowControl/>
              <w:kinsoku/>
              <w:overflowPunct/>
              <w:topLinePunct w:val="0"/>
              <w:autoSpaceDE/>
              <w:autoSpaceDN/>
              <w:bidi w:val="0"/>
              <w:adjustRightInd/>
              <w:snapToGrid/>
              <w:spacing w:line="580" w:lineRule="exact"/>
              <w:ind w:left="-96" w:leftChars="-51" w:right="-97" w:rightChars="-51" w:hanging="1"/>
              <w:jc w:val="center"/>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法律服务机构</w:t>
            </w:r>
          </w:p>
        </w:tc>
        <w:tc>
          <w:tcPr>
            <w:tcW w:w="525" w:type="dxa"/>
            <w:shd w:val="clear" w:color="auto" w:fill="auto"/>
            <w:tcMar>
              <w:left w:w="108" w:type="dxa"/>
              <w:right w:w="108" w:type="dxa"/>
            </w:tcMar>
            <w:vAlign w:val="center"/>
          </w:tcPr>
          <w:p w14:paraId="13F61D57">
            <w:pPr>
              <w:keepNext w:val="0"/>
              <w:keepLines w:val="0"/>
              <w:pageBreakBefore w:val="0"/>
              <w:widowControl/>
              <w:kinsoku/>
              <w:overflowPunct/>
              <w:topLinePunct w:val="0"/>
              <w:autoSpaceDE/>
              <w:autoSpaceDN/>
              <w:bidi w:val="0"/>
              <w:adjustRightInd/>
              <w:snapToGrid/>
              <w:spacing w:line="580" w:lineRule="exact"/>
              <w:ind w:left="-57" w:leftChars="-30" w:right="-122" w:rightChars="-64"/>
              <w:jc w:val="center"/>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其他</w:t>
            </w:r>
          </w:p>
        </w:tc>
        <w:tc>
          <w:tcPr>
            <w:tcW w:w="701" w:type="dxa"/>
            <w:gridSpan w:val="2"/>
            <w:vMerge w:val="continue"/>
            <w:shd w:val="clear" w:color="auto" w:fill="auto"/>
            <w:tcMar>
              <w:left w:w="108" w:type="dxa"/>
              <w:right w:w="108" w:type="dxa"/>
            </w:tcMar>
            <w:vAlign w:val="center"/>
          </w:tcPr>
          <w:p w14:paraId="15AEF008">
            <w:pPr>
              <w:keepNext w:val="0"/>
              <w:keepLines w:val="0"/>
              <w:pageBreakBefore w:val="0"/>
              <w:kinsoku/>
              <w:overflowPunct/>
              <w:topLinePunct w:val="0"/>
              <w:autoSpaceDE/>
              <w:autoSpaceDN/>
              <w:bidi w:val="0"/>
              <w:adjustRightInd/>
              <w:snapToGrid/>
              <w:spacing w:line="580" w:lineRule="exact"/>
              <w:jc w:val="center"/>
              <w:textAlignment w:val="auto"/>
              <w:rPr>
                <w:rFonts w:ascii="Times New Roman" w:hAnsi="Times New Roman" w:eastAsia="仿宋_GB2312"/>
                <w:color w:val="auto"/>
                <w:szCs w:val="21"/>
                <w:highlight w:val="none"/>
              </w:rPr>
            </w:pPr>
          </w:p>
        </w:tc>
      </w:tr>
      <w:tr w14:paraId="423F37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2BE4C0F">
            <w:pPr>
              <w:keepNext w:val="0"/>
              <w:keepLines w:val="0"/>
              <w:pageBreakBefore w:val="0"/>
              <w:widowControl/>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一、</w:t>
            </w:r>
            <w:bookmarkStart w:id="0" w:name="_Hlk66973412"/>
            <w:r>
              <w:rPr>
                <w:rFonts w:hint="eastAsia" w:ascii="Times New Roman" w:hAnsi="Times New Roman" w:eastAsia="黑体"/>
                <w:color w:val="auto"/>
                <w:kern w:val="0"/>
                <w:szCs w:val="21"/>
                <w:highlight w:val="none"/>
              </w:rPr>
              <w:t>本年新收政府信息公开申请数量</w:t>
            </w:r>
            <w:bookmarkEnd w:id="0"/>
          </w:p>
        </w:tc>
        <w:tc>
          <w:tcPr>
            <w:tcW w:w="747" w:type="dxa"/>
            <w:shd w:val="clear" w:color="auto" w:fill="auto"/>
            <w:tcMar>
              <w:left w:w="108" w:type="dxa"/>
              <w:right w:w="108" w:type="dxa"/>
            </w:tcMar>
            <w:vAlign w:val="center"/>
          </w:tcPr>
          <w:p w14:paraId="4B12E52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rPr>
            </w:pPr>
            <w:r>
              <w:rPr>
                <w:rFonts w:hint="default" w:ascii="Times New Roman" w:hAnsi="Times New Roman" w:eastAsia="仿宋_GB2312" w:cs="Times New Roman"/>
                <w:color w:val="auto"/>
                <w:sz w:val="21"/>
                <w:szCs w:val="22"/>
                <w:highlight w:val="none"/>
                <w:lang w:val="en-US" w:eastAsia="zh-CN"/>
              </w:rPr>
              <w:t>2</w:t>
            </w:r>
            <w:r>
              <w:rPr>
                <w:rFonts w:hint="eastAsia" w:ascii="Times New Roman" w:hAnsi="Times New Roman" w:eastAsia="仿宋_GB2312" w:cs="Times New Roman"/>
                <w:color w:val="auto"/>
                <w:sz w:val="21"/>
                <w:szCs w:val="22"/>
                <w:highlight w:val="none"/>
                <w:lang w:val="en-US" w:eastAsia="zh-CN"/>
              </w:rPr>
              <w:t>1</w:t>
            </w:r>
          </w:p>
        </w:tc>
        <w:tc>
          <w:tcPr>
            <w:tcW w:w="540" w:type="dxa"/>
            <w:gridSpan w:val="2"/>
            <w:shd w:val="clear" w:color="auto" w:fill="auto"/>
            <w:tcMar>
              <w:left w:w="108" w:type="dxa"/>
              <w:right w:w="108" w:type="dxa"/>
            </w:tcMar>
            <w:vAlign w:val="center"/>
          </w:tcPr>
          <w:p w14:paraId="79939A1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09579E3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6FB9409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2C132D1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73F4090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561D405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rPr>
            </w:pPr>
            <w:r>
              <w:rPr>
                <w:rFonts w:hint="default" w:ascii="Times New Roman" w:hAnsi="Times New Roman" w:eastAsia="仿宋_GB2312" w:cs="Times New Roman"/>
                <w:color w:val="auto"/>
                <w:sz w:val="21"/>
                <w:szCs w:val="22"/>
                <w:highlight w:val="none"/>
                <w:lang w:val="en-US" w:eastAsia="zh-CN"/>
              </w:rPr>
              <w:t>2</w:t>
            </w:r>
            <w:r>
              <w:rPr>
                <w:rFonts w:hint="eastAsia" w:ascii="Times New Roman" w:hAnsi="Times New Roman" w:eastAsia="仿宋_GB2312" w:cs="Times New Roman"/>
                <w:color w:val="auto"/>
                <w:sz w:val="21"/>
                <w:szCs w:val="22"/>
                <w:highlight w:val="none"/>
                <w:lang w:val="en-US" w:eastAsia="zh-CN"/>
              </w:rPr>
              <w:t>1</w:t>
            </w:r>
          </w:p>
        </w:tc>
      </w:tr>
      <w:tr w14:paraId="55678D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2B8E9AC">
            <w:pPr>
              <w:keepNext w:val="0"/>
              <w:keepLines w:val="0"/>
              <w:pageBreakBefore w:val="0"/>
              <w:widowControl/>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二、上年结转政府信息公开申请数量</w:t>
            </w:r>
          </w:p>
        </w:tc>
        <w:tc>
          <w:tcPr>
            <w:tcW w:w="747" w:type="dxa"/>
            <w:shd w:val="clear" w:color="auto" w:fill="auto"/>
            <w:tcMar>
              <w:left w:w="108" w:type="dxa"/>
              <w:right w:w="108" w:type="dxa"/>
            </w:tcMar>
            <w:vAlign w:val="center"/>
          </w:tcPr>
          <w:p w14:paraId="0948A96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498BAF7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7C093B2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7FF677B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236F1CF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68CC707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6F250E0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r>
      <w:tr w14:paraId="793EE5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0C8E2071">
            <w:pPr>
              <w:keepNext w:val="0"/>
              <w:keepLines w:val="0"/>
              <w:pageBreakBefore w:val="0"/>
              <w:widowControl/>
              <w:kinsoku/>
              <w:overflowPunct/>
              <w:topLinePunct w:val="0"/>
              <w:autoSpaceDE/>
              <w:autoSpaceDN/>
              <w:bidi w:val="0"/>
              <w:adjustRightInd/>
              <w:snapToGrid/>
              <w:spacing w:after="180" w:line="580" w:lineRule="exact"/>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三、本年度办理结果</w:t>
            </w:r>
          </w:p>
        </w:tc>
        <w:tc>
          <w:tcPr>
            <w:tcW w:w="4677" w:type="dxa"/>
            <w:gridSpan w:val="2"/>
            <w:shd w:val="clear" w:color="auto" w:fill="auto"/>
            <w:tcMar>
              <w:left w:w="108" w:type="dxa"/>
              <w:right w:w="108" w:type="dxa"/>
            </w:tcMar>
            <w:vAlign w:val="center"/>
          </w:tcPr>
          <w:p w14:paraId="7BEFF0B1">
            <w:pPr>
              <w:keepNext w:val="0"/>
              <w:keepLines w:val="0"/>
              <w:pageBreakBefore w:val="0"/>
              <w:widowControl/>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（一）予以公开</w:t>
            </w:r>
          </w:p>
        </w:tc>
        <w:tc>
          <w:tcPr>
            <w:tcW w:w="752" w:type="dxa"/>
            <w:gridSpan w:val="2"/>
            <w:shd w:val="clear" w:color="auto" w:fill="auto"/>
            <w:tcMar>
              <w:left w:w="108" w:type="dxa"/>
              <w:right w:w="108" w:type="dxa"/>
            </w:tcMar>
            <w:vAlign w:val="center"/>
          </w:tcPr>
          <w:p w14:paraId="40A3782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3697155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35" w:type="dxa"/>
            <w:shd w:val="clear" w:color="auto" w:fill="auto"/>
            <w:tcMar>
              <w:left w:w="108" w:type="dxa"/>
              <w:right w:w="108" w:type="dxa"/>
            </w:tcMar>
            <w:vAlign w:val="center"/>
          </w:tcPr>
          <w:p w14:paraId="3960079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4B9D0BE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7C26BC6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26" w:type="dxa"/>
            <w:gridSpan w:val="2"/>
            <w:shd w:val="clear" w:color="auto" w:fill="auto"/>
            <w:tcMar>
              <w:left w:w="108" w:type="dxa"/>
              <w:right w:w="108" w:type="dxa"/>
            </w:tcMar>
            <w:vAlign w:val="center"/>
          </w:tcPr>
          <w:p w14:paraId="0D14D97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00" w:type="dxa"/>
            <w:shd w:val="clear" w:color="auto" w:fill="auto"/>
            <w:tcMar>
              <w:left w:w="108" w:type="dxa"/>
              <w:right w:w="108" w:type="dxa"/>
            </w:tcMar>
            <w:vAlign w:val="center"/>
          </w:tcPr>
          <w:p w14:paraId="0DF7372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r>
      <w:tr w14:paraId="45FC5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7ECEE13">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4677" w:type="dxa"/>
            <w:gridSpan w:val="2"/>
            <w:shd w:val="clear" w:color="auto" w:fill="auto"/>
            <w:tcMar>
              <w:left w:w="108" w:type="dxa"/>
              <w:right w:w="108" w:type="dxa"/>
            </w:tcMar>
            <w:vAlign w:val="center"/>
          </w:tcPr>
          <w:p w14:paraId="73A152DF">
            <w:pPr>
              <w:keepNext w:val="0"/>
              <w:keepLines w:val="0"/>
              <w:pageBreakBefore w:val="0"/>
              <w:widowControl/>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（二）部分公开（</w:t>
            </w:r>
            <w:bookmarkStart w:id="1" w:name="_Hlk66973981"/>
            <w:r>
              <w:rPr>
                <w:rFonts w:hint="eastAsia" w:ascii="Times New Roman" w:hAnsi="Times New Roman" w:eastAsia="黑体"/>
                <w:color w:val="auto"/>
                <w:kern w:val="0"/>
                <w:szCs w:val="21"/>
                <w:highlight w:val="none"/>
              </w:rPr>
              <w:t>区分处理的，只计这一情形，不计其他情形</w:t>
            </w:r>
            <w:bookmarkEnd w:id="1"/>
            <w:r>
              <w:rPr>
                <w:rFonts w:hint="eastAsia" w:ascii="Times New Roman" w:hAnsi="Times New Roman" w:eastAsia="黑体"/>
                <w:color w:val="auto"/>
                <w:kern w:val="0"/>
                <w:szCs w:val="21"/>
                <w:highlight w:val="none"/>
              </w:rPr>
              <w:t>）</w:t>
            </w:r>
          </w:p>
        </w:tc>
        <w:tc>
          <w:tcPr>
            <w:tcW w:w="752" w:type="dxa"/>
            <w:gridSpan w:val="2"/>
            <w:shd w:val="clear" w:color="auto" w:fill="auto"/>
            <w:tcMar>
              <w:left w:w="108" w:type="dxa"/>
              <w:right w:w="108" w:type="dxa"/>
            </w:tcMar>
            <w:vAlign w:val="center"/>
          </w:tcPr>
          <w:p w14:paraId="45ADD8B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rPr>
              <w:t>4</w:t>
            </w:r>
          </w:p>
        </w:tc>
        <w:tc>
          <w:tcPr>
            <w:tcW w:w="540" w:type="dxa"/>
            <w:gridSpan w:val="2"/>
            <w:shd w:val="clear" w:color="auto" w:fill="auto"/>
            <w:tcMar>
              <w:left w:w="108" w:type="dxa"/>
              <w:right w:w="108" w:type="dxa"/>
            </w:tcMar>
            <w:vAlign w:val="center"/>
          </w:tcPr>
          <w:p w14:paraId="5AFB5FA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35" w:type="dxa"/>
            <w:shd w:val="clear" w:color="auto" w:fill="auto"/>
            <w:tcMar>
              <w:left w:w="108" w:type="dxa"/>
              <w:right w:w="108" w:type="dxa"/>
            </w:tcMar>
            <w:vAlign w:val="center"/>
          </w:tcPr>
          <w:p w14:paraId="1093BB3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5CDC122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4B315C5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26" w:type="dxa"/>
            <w:gridSpan w:val="2"/>
            <w:shd w:val="clear" w:color="auto" w:fill="auto"/>
            <w:tcMar>
              <w:left w:w="108" w:type="dxa"/>
              <w:right w:w="108" w:type="dxa"/>
            </w:tcMar>
            <w:vAlign w:val="center"/>
          </w:tcPr>
          <w:p w14:paraId="3AFC97A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00" w:type="dxa"/>
            <w:shd w:val="clear" w:color="auto" w:fill="auto"/>
            <w:tcMar>
              <w:left w:w="108" w:type="dxa"/>
              <w:right w:w="108" w:type="dxa"/>
            </w:tcMar>
            <w:vAlign w:val="center"/>
          </w:tcPr>
          <w:p w14:paraId="218CDAB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rPr>
              <w:t>4</w:t>
            </w:r>
          </w:p>
        </w:tc>
      </w:tr>
      <w:tr w14:paraId="0C632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8EFC1C0">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restart"/>
            <w:shd w:val="clear" w:color="auto" w:fill="auto"/>
            <w:tcMar>
              <w:left w:w="108" w:type="dxa"/>
              <w:right w:w="108" w:type="dxa"/>
            </w:tcMar>
            <w:vAlign w:val="center"/>
          </w:tcPr>
          <w:p w14:paraId="7B0E8E6C">
            <w:pPr>
              <w:keepNext w:val="0"/>
              <w:keepLines w:val="0"/>
              <w:pageBreakBefore w:val="0"/>
              <w:widowControl/>
              <w:kinsoku/>
              <w:overflowPunct/>
              <w:topLinePunct w:val="0"/>
              <w:autoSpaceDE/>
              <w:autoSpaceDN/>
              <w:bidi w:val="0"/>
              <w:adjustRightInd/>
              <w:snapToGrid/>
              <w:spacing w:line="580" w:lineRule="exact"/>
              <w:ind w:left="-97" w:leftChars="-51"/>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（三）不予公开</w:t>
            </w:r>
          </w:p>
        </w:tc>
        <w:tc>
          <w:tcPr>
            <w:tcW w:w="2976" w:type="dxa"/>
            <w:shd w:val="clear" w:color="auto" w:fill="auto"/>
            <w:tcMar>
              <w:left w:w="108" w:type="dxa"/>
              <w:right w:w="108" w:type="dxa"/>
            </w:tcMar>
            <w:vAlign w:val="center"/>
          </w:tcPr>
          <w:p w14:paraId="0B5396D2">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1.属于国家秘密</w:t>
            </w:r>
          </w:p>
        </w:tc>
        <w:tc>
          <w:tcPr>
            <w:tcW w:w="747" w:type="dxa"/>
            <w:shd w:val="clear" w:color="auto" w:fill="auto"/>
            <w:tcMar>
              <w:left w:w="108" w:type="dxa"/>
              <w:right w:w="108" w:type="dxa"/>
            </w:tcMar>
            <w:vAlign w:val="center"/>
          </w:tcPr>
          <w:p w14:paraId="1EB66E3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3E3C77B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52E2B24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1F5BDA4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3D08E39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64BA8F9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68CE35C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625E90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975428D">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43073F99">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6968E757">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w:t>
            </w:r>
            <w:bookmarkStart w:id="2" w:name="_Hlk66974104"/>
            <w:r>
              <w:rPr>
                <w:rFonts w:hint="eastAsia" w:ascii="Times New Roman" w:hAnsi="Times New Roman" w:eastAsia="仿宋_GB2312"/>
                <w:color w:val="auto"/>
                <w:kern w:val="0"/>
                <w:szCs w:val="21"/>
                <w:highlight w:val="none"/>
              </w:rPr>
              <w:t>其他法律行政法规禁止公开</w:t>
            </w:r>
            <w:bookmarkEnd w:id="2"/>
          </w:p>
        </w:tc>
        <w:tc>
          <w:tcPr>
            <w:tcW w:w="747" w:type="dxa"/>
            <w:shd w:val="clear" w:color="auto" w:fill="auto"/>
            <w:tcMar>
              <w:left w:w="108" w:type="dxa"/>
              <w:right w:w="108" w:type="dxa"/>
            </w:tcMar>
            <w:vAlign w:val="center"/>
          </w:tcPr>
          <w:p w14:paraId="58BC19F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7890EA3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51BCFFE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7678405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598910A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0A293F1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344AEFA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0C4FF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9C4D881">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53E67EA8">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67D40C55">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3.危及“三安全一稳定”</w:t>
            </w:r>
          </w:p>
        </w:tc>
        <w:tc>
          <w:tcPr>
            <w:tcW w:w="747" w:type="dxa"/>
            <w:shd w:val="clear" w:color="auto" w:fill="auto"/>
            <w:tcMar>
              <w:left w:w="108" w:type="dxa"/>
              <w:right w:w="108" w:type="dxa"/>
            </w:tcMar>
            <w:vAlign w:val="center"/>
          </w:tcPr>
          <w:p w14:paraId="4049075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38DC532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0C8E6F3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4E03B08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5B87B92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2C53DCD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2750546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4C6D2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A6B545A">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15EC983E">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7780D46A">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4.</w:t>
            </w:r>
            <w:bookmarkStart w:id="3" w:name="_Hlk66974290"/>
            <w:r>
              <w:rPr>
                <w:rFonts w:hint="eastAsia" w:ascii="Times New Roman" w:hAnsi="Times New Roman" w:eastAsia="仿宋_GB2312"/>
                <w:color w:val="auto"/>
                <w:kern w:val="0"/>
                <w:szCs w:val="21"/>
                <w:highlight w:val="none"/>
              </w:rPr>
              <w:t>保护第三方合法权益</w:t>
            </w:r>
            <w:bookmarkEnd w:id="3"/>
          </w:p>
        </w:tc>
        <w:tc>
          <w:tcPr>
            <w:tcW w:w="747" w:type="dxa"/>
            <w:shd w:val="clear" w:color="auto" w:fill="auto"/>
            <w:tcMar>
              <w:left w:w="108" w:type="dxa"/>
              <w:right w:w="108" w:type="dxa"/>
            </w:tcMar>
            <w:vAlign w:val="center"/>
          </w:tcPr>
          <w:p w14:paraId="0DEFB5B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2156AFA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26F7250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10E5D94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20D695C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5B8E215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13A6003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7837F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EF0C56F">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6E1B6543">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6E51ECA8">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5.属于三类内部事务信息</w:t>
            </w:r>
          </w:p>
        </w:tc>
        <w:tc>
          <w:tcPr>
            <w:tcW w:w="747" w:type="dxa"/>
            <w:shd w:val="clear" w:color="auto" w:fill="auto"/>
            <w:tcMar>
              <w:left w:w="108" w:type="dxa"/>
              <w:right w:w="108" w:type="dxa"/>
            </w:tcMar>
            <w:vAlign w:val="center"/>
          </w:tcPr>
          <w:p w14:paraId="539A834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676E9CB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56F0A93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7EB446F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5E1D756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6ADF612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52E70F2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3288F9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45AD3E5">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23A5CAB4">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5513C134">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6.</w:t>
            </w:r>
            <w:bookmarkStart w:id="4" w:name="_Hlk66974555"/>
            <w:r>
              <w:rPr>
                <w:rFonts w:hint="eastAsia" w:ascii="Times New Roman" w:hAnsi="Times New Roman" w:eastAsia="仿宋_GB2312"/>
                <w:color w:val="auto"/>
                <w:kern w:val="0"/>
                <w:szCs w:val="21"/>
                <w:highlight w:val="none"/>
              </w:rPr>
              <w:t>属于四类过程性信息</w:t>
            </w:r>
            <w:bookmarkEnd w:id="4"/>
          </w:p>
        </w:tc>
        <w:tc>
          <w:tcPr>
            <w:tcW w:w="747" w:type="dxa"/>
            <w:shd w:val="clear" w:color="auto" w:fill="auto"/>
            <w:tcMar>
              <w:left w:w="108" w:type="dxa"/>
              <w:right w:w="108" w:type="dxa"/>
            </w:tcMar>
            <w:vAlign w:val="center"/>
          </w:tcPr>
          <w:p w14:paraId="6A499F4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185051A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3A1CA7C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1225093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41D3DBB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4996191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2F198B9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5883D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788D8FD">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1D2D5286">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2FB87947">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7.属于行政执法案卷</w:t>
            </w:r>
          </w:p>
        </w:tc>
        <w:tc>
          <w:tcPr>
            <w:tcW w:w="747" w:type="dxa"/>
            <w:shd w:val="clear" w:color="auto" w:fill="auto"/>
            <w:tcMar>
              <w:left w:w="108" w:type="dxa"/>
              <w:right w:w="108" w:type="dxa"/>
            </w:tcMar>
            <w:vAlign w:val="center"/>
          </w:tcPr>
          <w:p w14:paraId="1CDF072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07CEEE1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5237F28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6F4CA06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77B5996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3D5C6F8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7C65FB8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721F75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A8B67D2">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0BF299AB">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70F33DB7">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8.</w:t>
            </w:r>
            <w:bookmarkStart w:id="5" w:name="_Hlk66975211"/>
            <w:r>
              <w:rPr>
                <w:rFonts w:hint="eastAsia" w:ascii="Times New Roman" w:hAnsi="Times New Roman" w:eastAsia="仿宋_GB2312"/>
                <w:color w:val="auto"/>
                <w:kern w:val="0"/>
                <w:szCs w:val="21"/>
                <w:highlight w:val="none"/>
              </w:rPr>
              <w:t>属于行政查询事项</w:t>
            </w:r>
            <w:bookmarkEnd w:id="5"/>
          </w:p>
        </w:tc>
        <w:tc>
          <w:tcPr>
            <w:tcW w:w="747" w:type="dxa"/>
            <w:shd w:val="clear" w:color="auto" w:fill="auto"/>
            <w:tcMar>
              <w:left w:w="108" w:type="dxa"/>
              <w:right w:w="108" w:type="dxa"/>
            </w:tcMar>
            <w:vAlign w:val="center"/>
          </w:tcPr>
          <w:p w14:paraId="3148C62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5FB1470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6196359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68E11D5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7FA3A44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4FE071E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51F42E9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20151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4F7CA75">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restart"/>
            <w:shd w:val="clear" w:color="auto" w:fill="auto"/>
            <w:tcMar>
              <w:left w:w="108" w:type="dxa"/>
              <w:right w:w="108" w:type="dxa"/>
            </w:tcMar>
            <w:vAlign w:val="center"/>
          </w:tcPr>
          <w:p w14:paraId="0B82946F">
            <w:pPr>
              <w:keepNext w:val="0"/>
              <w:keepLines w:val="0"/>
              <w:pageBreakBefore w:val="0"/>
              <w:widowControl/>
              <w:kinsoku/>
              <w:overflowPunct/>
              <w:topLinePunct w:val="0"/>
              <w:autoSpaceDE/>
              <w:autoSpaceDN/>
              <w:bidi w:val="0"/>
              <w:adjustRightInd/>
              <w:snapToGrid/>
              <w:spacing w:line="580" w:lineRule="exact"/>
              <w:ind w:left="-97" w:leftChars="-51"/>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（四）无法提供</w:t>
            </w:r>
          </w:p>
        </w:tc>
        <w:tc>
          <w:tcPr>
            <w:tcW w:w="2976" w:type="dxa"/>
            <w:shd w:val="clear" w:color="auto" w:fill="auto"/>
            <w:tcMar>
              <w:left w:w="108" w:type="dxa"/>
              <w:right w:w="108" w:type="dxa"/>
            </w:tcMar>
            <w:vAlign w:val="center"/>
          </w:tcPr>
          <w:p w14:paraId="1DFEA84C">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1.本机关不掌握相关政府信息</w:t>
            </w:r>
          </w:p>
        </w:tc>
        <w:tc>
          <w:tcPr>
            <w:tcW w:w="747" w:type="dxa"/>
            <w:shd w:val="clear" w:color="auto" w:fill="auto"/>
            <w:tcMar>
              <w:left w:w="108" w:type="dxa"/>
              <w:right w:w="108" w:type="dxa"/>
            </w:tcMar>
            <w:vAlign w:val="center"/>
          </w:tcPr>
          <w:p w14:paraId="42EAB89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rPr>
            </w:pPr>
            <w:r>
              <w:rPr>
                <w:rFonts w:hint="eastAsia" w:ascii="Times New Roman" w:hAnsi="Times New Roman" w:eastAsia="仿宋_GB2312" w:cs="Times New Roman"/>
                <w:color w:val="auto"/>
                <w:sz w:val="21"/>
                <w:szCs w:val="22"/>
                <w:highlight w:val="none"/>
                <w:lang w:val="en-US" w:eastAsia="zh-CN"/>
              </w:rPr>
              <w:t>14</w:t>
            </w:r>
          </w:p>
        </w:tc>
        <w:tc>
          <w:tcPr>
            <w:tcW w:w="540" w:type="dxa"/>
            <w:gridSpan w:val="2"/>
            <w:shd w:val="clear" w:color="auto" w:fill="auto"/>
            <w:tcMar>
              <w:left w:w="108" w:type="dxa"/>
              <w:right w:w="108" w:type="dxa"/>
            </w:tcMar>
            <w:vAlign w:val="center"/>
          </w:tcPr>
          <w:p w14:paraId="73F9A7C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eastAsia"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5F7F14E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6072A2F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6DA3DEF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732DD95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6830032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rPr>
            </w:pPr>
            <w:r>
              <w:rPr>
                <w:rFonts w:hint="eastAsia" w:ascii="Times New Roman" w:hAnsi="Times New Roman" w:eastAsia="仿宋_GB2312" w:cs="Times New Roman"/>
                <w:color w:val="auto"/>
                <w:sz w:val="21"/>
                <w:szCs w:val="22"/>
                <w:highlight w:val="none"/>
                <w:lang w:val="en-US" w:eastAsia="zh-CN"/>
              </w:rPr>
              <w:t>14</w:t>
            </w:r>
          </w:p>
        </w:tc>
      </w:tr>
      <w:tr w14:paraId="42FAB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E7B9AD1">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75540704">
            <w:pPr>
              <w:keepNext w:val="0"/>
              <w:keepLines w:val="0"/>
              <w:pageBreakBefore w:val="0"/>
              <w:kinsoku/>
              <w:overflowPunct/>
              <w:topLinePunct w:val="0"/>
              <w:autoSpaceDE/>
              <w:autoSpaceDN/>
              <w:bidi w:val="0"/>
              <w:adjustRightInd/>
              <w:snapToGrid/>
              <w:spacing w:line="580" w:lineRule="exact"/>
              <w:ind w:left="-97" w:leftChars="-51"/>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50E996CB">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w:t>
            </w:r>
            <w:bookmarkStart w:id="6" w:name="_Hlk66975392"/>
            <w:r>
              <w:rPr>
                <w:rFonts w:hint="eastAsia" w:ascii="Times New Roman" w:hAnsi="Times New Roman" w:eastAsia="仿宋_GB2312"/>
                <w:color w:val="auto"/>
                <w:kern w:val="0"/>
                <w:szCs w:val="21"/>
                <w:highlight w:val="none"/>
              </w:rPr>
              <w:t>没有现成信息需要另行制作</w:t>
            </w:r>
            <w:bookmarkEnd w:id="6"/>
          </w:p>
        </w:tc>
        <w:tc>
          <w:tcPr>
            <w:tcW w:w="747" w:type="dxa"/>
            <w:shd w:val="clear" w:color="auto" w:fill="auto"/>
            <w:tcMar>
              <w:left w:w="108" w:type="dxa"/>
              <w:right w:w="108" w:type="dxa"/>
            </w:tcMar>
            <w:vAlign w:val="center"/>
          </w:tcPr>
          <w:p w14:paraId="6FD92EF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eastAsia" w:ascii="Times New Roman" w:hAnsi="Times New Roman" w:eastAsia="仿宋_GB2312" w:cs="Times New Roman"/>
                <w:color w:val="auto"/>
                <w:sz w:val="21"/>
                <w:szCs w:val="22"/>
                <w:highlight w:val="none"/>
                <w:lang w:val="en-US" w:eastAsia="zh-CN"/>
              </w:rPr>
              <w:t>1</w:t>
            </w:r>
          </w:p>
        </w:tc>
        <w:tc>
          <w:tcPr>
            <w:tcW w:w="540" w:type="dxa"/>
            <w:gridSpan w:val="2"/>
            <w:shd w:val="clear" w:color="auto" w:fill="auto"/>
            <w:tcMar>
              <w:left w:w="108" w:type="dxa"/>
              <w:right w:w="108" w:type="dxa"/>
            </w:tcMar>
            <w:vAlign w:val="center"/>
          </w:tcPr>
          <w:p w14:paraId="4447379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00CF56B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3CEC2BB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767ABB2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2B190F1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40C66BF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eastAsia" w:ascii="Times New Roman" w:hAnsi="Times New Roman" w:eastAsia="仿宋_GB2312" w:cs="Times New Roman"/>
                <w:color w:val="auto"/>
                <w:sz w:val="21"/>
                <w:szCs w:val="22"/>
                <w:highlight w:val="none"/>
                <w:lang w:val="en-US" w:eastAsia="zh-CN"/>
              </w:rPr>
              <w:t>1</w:t>
            </w:r>
          </w:p>
        </w:tc>
      </w:tr>
      <w:tr w14:paraId="0A1ED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B3D09E3">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6093F557">
            <w:pPr>
              <w:keepNext w:val="0"/>
              <w:keepLines w:val="0"/>
              <w:pageBreakBefore w:val="0"/>
              <w:kinsoku/>
              <w:overflowPunct/>
              <w:topLinePunct w:val="0"/>
              <w:autoSpaceDE/>
              <w:autoSpaceDN/>
              <w:bidi w:val="0"/>
              <w:adjustRightInd/>
              <w:snapToGrid/>
              <w:spacing w:line="580" w:lineRule="exact"/>
              <w:ind w:left="-97" w:leftChars="-51"/>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385EB706">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3.</w:t>
            </w:r>
            <w:bookmarkStart w:id="7" w:name="_Hlk66975466"/>
            <w:r>
              <w:rPr>
                <w:rFonts w:hint="eastAsia" w:ascii="Times New Roman" w:hAnsi="Times New Roman" w:eastAsia="仿宋_GB2312"/>
                <w:color w:val="auto"/>
                <w:kern w:val="0"/>
                <w:szCs w:val="21"/>
                <w:highlight w:val="none"/>
              </w:rPr>
              <w:t>补正后申请内容仍不明确</w:t>
            </w:r>
            <w:bookmarkEnd w:id="7"/>
          </w:p>
        </w:tc>
        <w:tc>
          <w:tcPr>
            <w:tcW w:w="747" w:type="dxa"/>
            <w:shd w:val="clear" w:color="auto" w:fill="auto"/>
            <w:tcMar>
              <w:left w:w="108" w:type="dxa"/>
              <w:right w:w="108" w:type="dxa"/>
            </w:tcMar>
            <w:vAlign w:val="center"/>
          </w:tcPr>
          <w:p w14:paraId="27806EA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1CD581F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1A44BDB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0D0C884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18AE454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0B24C54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376D71B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10D56B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6FBA775">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restart"/>
            <w:shd w:val="clear" w:color="auto" w:fill="auto"/>
            <w:tcMar>
              <w:left w:w="108" w:type="dxa"/>
              <w:right w:w="108" w:type="dxa"/>
            </w:tcMar>
            <w:vAlign w:val="center"/>
          </w:tcPr>
          <w:p w14:paraId="0923E41C">
            <w:pPr>
              <w:keepNext w:val="0"/>
              <w:keepLines w:val="0"/>
              <w:pageBreakBefore w:val="0"/>
              <w:widowControl/>
              <w:kinsoku/>
              <w:overflowPunct/>
              <w:topLinePunct w:val="0"/>
              <w:autoSpaceDE/>
              <w:autoSpaceDN/>
              <w:bidi w:val="0"/>
              <w:adjustRightInd/>
              <w:snapToGrid/>
              <w:spacing w:line="580" w:lineRule="exact"/>
              <w:ind w:left="-97" w:leftChars="-51"/>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（五）不予处理</w:t>
            </w:r>
          </w:p>
        </w:tc>
        <w:tc>
          <w:tcPr>
            <w:tcW w:w="2976" w:type="dxa"/>
            <w:shd w:val="clear" w:color="auto" w:fill="auto"/>
            <w:tcMar>
              <w:left w:w="108" w:type="dxa"/>
              <w:right w:w="108" w:type="dxa"/>
            </w:tcMar>
            <w:vAlign w:val="center"/>
          </w:tcPr>
          <w:p w14:paraId="6FC2FEBE">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w:t>
            </w:r>
            <w:bookmarkStart w:id="8" w:name="_Hlk66975537"/>
            <w:r>
              <w:rPr>
                <w:rFonts w:hint="eastAsia" w:ascii="Times New Roman" w:hAnsi="Times New Roman" w:eastAsia="仿宋_GB2312"/>
                <w:color w:val="auto"/>
                <w:kern w:val="0"/>
                <w:szCs w:val="21"/>
                <w:highlight w:val="none"/>
              </w:rPr>
              <w:t>信访举报投诉类申请</w:t>
            </w:r>
            <w:bookmarkEnd w:id="8"/>
          </w:p>
        </w:tc>
        <w:tc>
          <w:tcPr>
            <w:tcW w:w="747" w:type="dxa"/>
            <w:shd w:val="clear" w:color="auto" w:fill="auto"/>
            <w:tcMar>
              <w:left w:w="108" w:type="dxa"/>
              <w:right w:w="108" w:type="dxa"/>
            </w:tcMar>
            <w:vAlign w:val="center"/>
          </w:tcPr>
          <w:p w14:paraId="39A5187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7CAC934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58D65BB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7027B88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3BE5114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1F12D4D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3ECB030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2FE99D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EB6117">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48843E73">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13B81641">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2.重复申请</w:t>
            </w:r>
          </w:p>
        </w:tc>
        <w:tc>
          <w:tcPr>
            <w:tcW w:w="747" w:type="dxa"/>
            <w:shd w:val="clear" w:color="auto" w:fill="auto"/>
            <w:tcMar>
              <w:left w:w="108" w:type="dxa"/>
              <w:right w:w="108" w:type="dxa"/>
            </w:tcMar>
            <w:vAlign w:val="center"/>
          </w:tcPr>
          <w:p w14:paraId="2BA25D2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5F96A36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4138ED6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42638E4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09BB799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3893E3C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7DD2E04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5782F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D45B8C">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1B2BAE5F">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200A9B61">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3.要求提供公开出版物</w:t>
            </w:r>
          </w:p>
        </w:tc>
        <w:tc>
          <w:tcPr>
            <w:tcW w:w="747" w:type="dxa"/>
            <w:shd w:val="clear" w:color="auto" w:fill="auto"/>
            <w:tcMar>
              <w:left w:w="108" w:type="dxa"/>
              <w:right w:w="108" w:type="dxa"/>
            </w:tcMar>
            <w:vAlign w:val="center"/>
          </w:tcPr>
          <w:p w14:paraId="277AB93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3050AA7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79C0375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23ECD57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5C95881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5B18F72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1CBDD13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5E1A22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1622A600">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6A70297D">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355B6B0C">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4.无正当理由大量反复申请</w:t>
            </w:r>
          </w:p>
        </w:tc>
        <w:tc>
          <w:tcPr>
            <w:tcW w:w="747" w:type="dxa"/>
            <w:shd w:val="clear" w:color="auto" w:fill="auto"/>
            <w:tcMar>
              <w:left w:w="108" w:type="dxa"/>
              <w:right w:w="108" w:type="dxa"/>
            </w:tcMar>
            <w:vAlign w:val="center"/>
          </w:tcPr>
          <w:p w14:paraId="0C3B21A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403CF75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4EACE99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7285946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5887B4D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6EBB84D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5BB9E72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01F4C8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ED4B5EC">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53692CBE">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503526D6">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5.要求行政机关确认或重新</w:t>
            </w:r>
          </w:p>
          <w:p w14:paraId="6B0E72A9">
            <w:pPr>
              <w:keepNext w:val="0"/>
              <w:keepLines w:val="0"/>
              <w:pageBreakBefore w:val="0"/>
              <w:widowControl/>
              <w:kinsoku/>
              <w:wordWrap/>
              <w:overflowPunct/>
              <w:topLinePunct w:val="0"/>
              <w:autoSpaceDE/>
              <w:autoSpaceDN/>
              <w:bidi w:val="0"/>
              <w:adjustRightInd/>
              <w:snapToGrid/>
              <w:spacing w:line="400" w:lineRule="exact"/>
              <w:ind w:firstLine="192" w:firstLineChars="100"/>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出具已获取信息</w:t>
            </w:r>
          </w:p>
        </w:tc>
        <w:tc>
          <w:tcPr>
            <w:tcW w:w="747" w:type="dxa"/>
            <w:shd w:val="clear" w:color="auto" w:fill="auto"/>
            <w:tcMar>
              <w:left w:w="108" w:type="dxa"/>
              <w:right w:w="108" w:type="dxa"/>
            </w:tcMar>
            <w:vAlign w:val="center"/>
          </w:tcPr>
          <w:p w14:paraId="3584C46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510F547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3051E13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747321A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4CAA5F7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1BAEA74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6C22177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39C5E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1329049">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restart"/>
            <w:shd w:val="clear" w:color="auto" w:fill="auto"/>
            <w:tcMar>
              <w:left w:w="108" w:type="dxa"/>
              <w:right w:w="108" w:type="dxa"/>
            </w:tcMar>
            <w:vAlign w:val="center"/>
          </w:tcPr>
          <w:p w14:paraId="4B3BDA2C">
            <w:pPr>
              <w:keepNext w:val="0"/>
              <w:keepLines w:val="0"/>
              <w:pageBreakBefore w:val="0"/>
              <w:widowControl/>
              <w:kinsoku/>
              <w:overflowPunct/>
              <w:topLinePunct w:val="0"/>
              <w:autoSpaceDE/>
              <w:autoSpaceDN/>
              <w:bidi w:val="0"/>
              <w:adjustRightInd/>
              <w:snapToGrid/>
              <w:spacing w:line="580" w:lineRule="exact"/>
              <w:textAlignment w:val="auto"/>
              <w:rPr>
                <w:rFonts w:ascii="Times New Roman" w:hAnsi="Times New Roman" w:eastAsia="黑体"/>
                <w:color w:val="auto"/>
                <w:kern w:val="0"/>
                <w:szCs w:val="21"/>
                <w:highlight w:val="none"/>
              </w:rPr>
            </w:pPr>
            <w:r>
              <w:rPr>
                <w:rFonts w:hint="eastAsia" w:ascii="Times New Roman" w:hAnsi="Times New Roman" w:eastAsia="黑体"/>
                <w:color w:val="auto"/>
                <w:kern w:val="0"/>
                <w:szCs w:val="21"/>
                <w:highlight w:val="none"/>
              </w:rPr>
              <w:t>（六）其他处理</w:t>
            </w:r>
          </w:p>
        </w:tc>
        <w:tc>
          <w:tcPr>
            <w:tcW w:w="2976" w:type="dxa"/>
            <w:shd w:val="clear" w:color="auto" w:fill="auto"/>
            <w:vAlign w:val="center"/>
          </w:tcPr>
          <w:p w14:paraId="2874FE7C">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highlight w:val="none"/>
              </w:rPr>
            </w:pPr>
            <w:r>
              <w:rPr>
                <w:rFonts w:hint="eastAsia" w:ascii="Times New Roman" w:hAnsi="Times New Roman" w:eastAsia="仿宋_GB2312"/>
                <w:color w:val="auto"/>
                <w:highlight w:val="none"/>
              </w:rPr>
              <w:t>1.申请人无正当理由逾期不补正、行政机关不再处理其政府信息公开申请</w:t>
            </w:r>
          </w:p>
        </w:tc>
        <w:tc>
          <w:tcPr>
            <w:tcW w:w="747" w:type="dxa"/>
            <w:shd w:val="clear" w:color="auto" w:fill="auto"/>
            <w:tcMar>
              <w:left w:w="108" w:type="dxa"/>
              <w:right w:w="108" w:type="dxa"/>
            </w:tcMar>
            <w:vAlign w:val="center"/>
          </w:tcPr>
          <w:p w14:paraId="397784D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eastAsia" w:ascii="Times New Roman" w:hAnsi="Times New Roman" w:eastAsia="仿宋_GB2312" w:cs="Times New Roman"/>
                <w:color w:val="auto"/>
                <w:sz w:val="21"/>
                <w:szCs w:val="22"/>
                <w:highlight w:val="none"/>
                <w:lang w:val="en-US" w:eastAsia="zh-CN"/>
              </w:rPr>
              <w:t>1</w:t>
            </w:r>
          </w:p>
        </w:tc>
        <w:tc>
          <w:tcPr>
            <w:tcW w:w="540" w:type="dxa"/>
            <w:gridSpan w:val="2"/>
            <w:shd w:val="clear" w:color="auto" w:fill="auto"/>
            <w:tcMar>
              <w:left w:w="108" w:type="dxa"/>
              <w:right w:w="108" w:type="dxa"/>
            </w:tcMar>
            <w:vAlign w:val="center"/>
          </w:tcPr>
          <w:p w14:paraId="37C9062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10FAFBD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545365B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17F01C9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20518ED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73C116B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eastAsia" w:ascii="Times New Roman" w:hAnsi="Times New Roman" w:eastAsia="仿宋_GB2312" w:cs="Times New Roman"/>
                <w:color w:val="auto"/>
                <w:sz w:val="21"/>
                <w:szCs w:val="22"/>
                <w:highlight w:val="none"/>
                <w:lang w:val="en-US" w:eastAsia="zh-CN"/>
              </w:rPr>
              <w:t>1</w:t>
            </w:r>
          </w:p>
        </w:tc>
      </w:tr>
      <w:tr w14:paraId="26071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B226DB5">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69F0FE0E">
            <w:pPr>
              <w:keepNext w:val="0"/>
              <w:keepLines w:val="0"/>
              <w:pageBreakBefore w:val="0"/>
              <w:widowControl/>
              <w:kinsoku/>
              <w:overflowPunct/>
              <w:topLinePunct w:val="0"/>
              <w:autoSpaceDE/>
              <w:autoSpaceDN/>
              <w:bidi w:val="0"/>
              <w:adjustRightInd/>
              <w:snapToGrid/>
              <w:spacing w:line="580" w:lineRule="exact"/>
              <w:textAlignment w:val="auto"/>
              <w:rPr>
                <w:rFonts w:ascii="Times New Roman" w:hAnsi="Times New Roman" w:eastAsia="黑体"/>
                <w:color w:val="auto"/>
                <w:kern w:val="0"/>
                <w:szCs w:val="21"/>
                <w:highlight w:val="none"/>
              </w:rPr>
            </w:pPr>
          </w:p>
        </w:tc>
        <w:tc>
          <w:tcPr>
            <w:tcW w:w="2976" w:type="dxa"/>
            <w:shd w:val="clear" w:color="auto" w:fill="auto"/>
            <w:vAlign w:val="center"/>
          </w:tcPr>
          <w:p w14:paraId="610A3B5F">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highlight w:val="none"/>
              </w:rPr>
              <w:t>2.申请人逾期未按收费通知要求缴纳费用、行政机关不再处理其政府信息公开申请</w:t>
            </w:r>
          </w:p>
        </w:tc>
        <w:tc>
          <w:tcPr>
            <w:tcW w:w="747" w:type="dxa"/>
            <w:shd w:val="clear" w:color="auto" w:fill="auto"/>
            <w:tcMar>
              <w:left w:w="108" w:type="dxa"/>
              <w:right w:w="108" w:type="dxa"/>
            </w:tcMar>
            <w:vAlign w:val="center"/>
          </w:tcPr>
          <w:p w14:paraId="77E30A0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189509D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2AD22CF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7D2E302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1D43FC3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67FCDD2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4559952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r>
      <w:tr w14:paraId="4E6F5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BB912CA">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3F934F2F">
            <w:pPr>
              <w:keepNext w:val="0"/>
              <w:keepLines w:val="0"/>
              <w:pageBreakBefore w:val="0"/>
              <w:widowControl/>
              <w:kinsoku/>
              <w:overflowPunct/>
              <w:topLinePunct w:val="0"/>
              <w:autoSpaceDE/>
              <w:autoSpaceDN/>
              <w:bidi w:val="0"/>
              <w:adjustRightInd/>
              <w:snapToGrid/>
              <w:spacing w:line="580" w:lineRule="exact"/>
              <w:textAlignment w:val="auto"/>
              <w:rPr>
                <w:rFonts w:ascii="Times New Roman" w:hAnsi="Times New Roman" w:eastAsia="黑体"/>
                <w:color w:val="auto"/>
                <w:kern w:val="0"/>
                <w:szCs w:val="21"/>
                <w:highlight w:val="none"/>
              </w:rPr>
            </w:pPr>
          </w:p>
        </w:tc>
        <w:tc>
          <w:tcPr>
            <w:tcW w:w="2976" w:type="dxa"/>
            <w:shd w:val="clear" w:color="auto" w:fill="auto"/>
            <w:vAlign w:val="center"/>
          </w:tcPr>
          <w:p w14:paraId="11A6C3C6">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highlight w:val="none"/>
              </w:rPr>
              <w:t>3.其他</w:t>
            </w:r>
          </w:p>
        </w:tc>
        <w:tc>
          <w:tcPr>
            <w:tcW w:w="747" w:type="dxa"/>
            <w:shd w:val="clear" w:color="auto" w:fill="auto"/>
            <w:tcMar>
              <w:left w:w="108" w:type="dxa"/>
              <w:right w:w="108" w:type="dxa"/>
            </w:tcMar>
            <w:vAlign w:val="center"/>
          </w:tcPr>
          <w:p w14:paraId="507A92A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4738625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7F5D116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4255461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5EF6ECC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5E7412D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3523D8F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r>
      <w:tr w14:paraId="50C461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A27548E">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4677" w:type="dxa"/>
            <w:gridSpan w:val="2"/>
            <w:shd w:val="clear" w:color="auto" w:fill="auto"/>
            <w:tcMar>
              <w:left w:w="108" w:type="dxa"/>
              <w:right w:w="108" w:type="dxa"/>
            </w:tcMar>
            <w:vAlign w:val="center"/>
          </w:tcPr>
          <w:p w14:paraId="0277A68C">
            <w:pPr>
              <w:keepNext w:val="0"/>
              <w:keepLines w:val="0"/>
              <w:pageBreakBefore w:val="0"/>
              <w:widowControl/>
              <w:kinsoku/>
              <w:overflowPunct/>
              <w:topLinePunct w:val="0"/>
              <w:autoSpaceDE/>
              <w:autoSpaceDN/>
              <w:bidi w:val="0"/>
              <w:adjustRightInd/>
              <w:snapToGrid/>
              <w:spacing w:line="580" w:lineRule="exact"/>
              <w:textAlignment w:val="auto"/>
              <w:rPr>
                <w:rFonts w:ascii="Times New Roman" w:hAnsi="Times New Roman" w:eastAsia="黑体"/>
                <w:color w:val="auto"/>
                <w:kern w:val="0"/>
                <w:szCs w:val="21"/>
                <w:highlight w:val="none"/>
              </w:rPr>
            </w:pPr>
            <w:r>
              <w:rPr>
                <w:rFonts w:hint="eastAsia" w:ascii="Times New Roman" w:hAnsi="Times New Roman" w:eastAsia="黑体"/>
                <w:color w:val="auto"/>
                <w:kern w:val="0"/>
                <w:szCs w:val="21"/>
                <w:highlight w:val="none"/>
              </w:rPr>
              <w:t>（七）总计</w:t>
            </w:r>
          </w:p>
        </w:tc>
        <w:tc>
          <w:tcPr>
            <w:tcW w:w="747" w:type="dxa"/>
            <w:shd w:val="clear" w:color="auto" w:fill="auto"/>
            <w:tcMar>
              <w:left w:w="108" w:type="dxa"/>
              <w:right w:w="108" w:type="dxa"/>
            </w:tcMar>
            <w:vAlign w:val="center"/>
          </w:tcPr>
          <w:p w14:paraId="401AB33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bidi="ar-SA"/>
              </w:rPr>
              <w:t>20</w:t>
            </w:r>
          </w:p>
        </w:tc>
        <w:tc>
          <w:tcPr>
            <w:tcW w:w="540" w:type="dxa"/>
            <w:gridSpan w:val="2"/>
            <w:shd w:val="clear" w:color="auto" w:fill="auto"/>
            <w:tcMar>
              <w:left w:w="108" w:type="dxa"/>
              <w:right w:w="108" w:type="dxa"/>
            </w:tcMar>
            <w:vAlign w:val="center"/>
          </w:tcPr>
          <w:p w14:paraId="5FEA038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bidi="ar-SA"/>
              </w:rPr>
              <w:t>0</w:t>
            </w:r>
          </w:p>
        </w:tc>
        <w:tc>
          <w:tcPr>
            <w:tcW w:w="540" w:type="dxa"/>
            <w:gridSpan w:val="2"/>
            <w:shd w:val="clear" w:color="auto" w:fill="auto"/>
            <w:tcMar>
              <w:left w:w="108" w:type="dxa"/>
              <w:right w:w="108" w:type="dxa"/>
            </w:tcMar>
            <w:vAlign w:val="center"/>
          </w:tcPr>
          <w:p w14:paraId="2216DE5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bidi="ar-SA"/>
              </w:rPr>
              <w:t>0</w:t>
            </w:r>
          </w:p>
        </w:tc>
        <w:tc>
          <w:tcPr>
            <w:tcW w:w="720" w:type="dxa"/>
            <w:shd w:val="clear" w:color="auto" w:fill="auto"/>
            <w:tcMar>
              <w:left w:w="108" w:type="dxa"/>
              <w:right w:w="108" w:type="dxa"/>
            </w:tcMar>
            <w:vAlign w:val="center"/>
          </w:tcPr>
          <w:p w14:paraId="23E6304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bidi="ar-SA"/>
              </w:rPr>
              <w:t>0</w:t>
            </w:r>
          </w:p>
        </w:tc>
        <w:tc>
          <w:tcPr>
            <w:tcW w:w="675" w:type="dxa"/>
            <w:shd w:val="clear" w:color="auto" w:fill="auto"/>
            <w:tcMar>
              <w:left w:w="108" w:type="dxa"/>
              <w:right w:w="108" w:type="dxa"/>
            </w:tcMar>
            <w:vAlign w:val="center"/>
          </w:tcPr>
          <w:p w14:paraId="1B0BC50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bidi="ar-SA"/>
              </w:rPr>
              <w:t>0</w:t>
            </w:r>
          </w:p>
        </w:tc>
        <w:tc>
          <w:tcPr>
            <w:tcW w:w="525" w:type="dxa"/>
            <w:shd w:val="clear" w:color="auto" w:fill="auto"/>
            <w:tcMar>
              <w:left w:w="108" w:type="dxa"/>
              <w:right w:w="108" w:type="dxa"/>
            </w:tcMar>
            <w:vAlign w:val="center"/>
          </w:tcPr>
          <w:p w14:paraId="2B42450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bidi="ar-SA"/>
              </w:rPr>
              <w:t>0</w:t>
            </w:r>
          </w:p>
        </w:tc>
        <w:tc>
          <w:tcPr>
            <w:tcW w:w="701" w:type="dxa"/>
            <w:gridSpan w:val="2"/>
            <w:shd w:val="clear" w:color="auto" w:fill="auto"/>
            <w:tcMar>
              <w:left w:w="108" w:type="dxa"/>
              <w:right w:w="108" w:type="dxa"/>
            </w:tcMar>
            <w:vAlign w:val="center"/>
          </w:tcPr>
          <w:p w14:paraId="7E70ABF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bidi="ar-SA"/>
              </w:rPr>
              <w:t>20</w:t>
            </w:r>
          </w:p>
        </w:tc>
      </w:tr>
      <w:tr w14:paraId="51106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70FD788A">
            <w:pPr>
              <w:keepNext w:val="0"/>
              <w:keepLines w:val="0"/>
              <w:pageBreakBefore w:val="0"/>
              <w:widowControl/>
              <w:kinsoku/>
              <w:overflowPunct/>
              <w:topLinePunct w:val="0"/>
              <w:autoSpaceDE/>
              <w:autoSpaceDN/>
              <w:bidi w:val="0"/>
              <w:adjustRightInd/>
              <w:snapToGrid/>
              <w:spacing w:line="580" w:lineRule="exact"/>
              <w:textAlignment w:val="auto"/>
              <w:rPr>
                <w:rFonts w:ascii="Times New Roman" w:hAnsi="Times New Roman" w:eastAsia="黑体"/>
                <w:color w:val="auto"/>
                <w:kern w:val="0"/>
                <w:szCs w:val="21"/>
                <w:highlight w:val="none"/>
              </w:rPr>
            </w:pPr>
            <w:r>
              <w:rPr>
                <w:rFonts w:hint="eastAsia" w:ascii="Times New Roman" w:hAnsi="Times New Roman" w:eastAsia="黑体"/>
                <w:color w:val="auto"/>
                <w:kern w:val="0"/>
                <w:szCs w:val="21"/>
                <w:highlight w:val="none"/>
              </w:rPr>
              <w:t>四、结转下年度继续办理</w:t>
            </w:r>
          </w:p>
        </w:tc>
        <w:tc>
          <w:tcPr>
            <w:tcW w:w="747" w:type="dxa"/>
            <w:shd w:val="clear" w:color="auto" w:fill="auto"/>
            <w:tcMar>
              <w:left w:w="108" w:type="dxa"/>
              <w:right w:w="108" w:type="dxa"/>
            </w:tcMar>
            <w:vAlign w:val="center"/>
          </w:tcPr>
          <w:p w14:paraId="405BC78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rPr>
              <w:t>1</w:t>
            </w:r>
          </w:p>
        </w:tc>
        <w:tc>
          <w:tcPr>
            <w:tcW w:w="540" w:type="dxa"/>
            <w:gridSpan w:val="2"/>
            <w:shd w:val="clear" w:color="auto" w:fill="auto"/>
            <w:tcMar>
              <w:left w:w="108" w:type="dxa"/>
              <w:right w:w="108" w:type="dxa"/>
            </w:tcMar>
            <w:vAlign w:val="center"/>
          </w:tcPr>
          <w:p w14:paraId="7D0E366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5DF251C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5D0E33D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75639FE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3257ED2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0B32F9E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rPr>
              <w:t>1</w:t>
            </w:r>
          </w:p>
        </w:tc>
      </w:tr>
    </w:tbl>
    <w:p w14:paraId="36D791FA">
      <w:pPr>
        <w:keepNext w:val="0"/>
        <w:keepLines w:val="0"/>
        <w:pageBreakBefore w:val="0"/>
        <w:numPr>
          <w:ilvl w:val="0"/>
          <w:numId w:val="0"/>
        </w:numPr>
        <w:kinsoku/>
        <w:overflowPunct/>
        <w:topLinePunct w:val="0"/>
        <w:autoSpaceDE/>
        <w:autoSpaceDN/>
        <w:bidi w:val="0"/>
        <w:adjustRightInd/>
        <w:snapToGrid/>
        <w:spacing w:before="62" w:beforeLines="10" w:after="62" w:afterLines="10" w:line="580" w:lineRule="exact"/>
        <w:textAlignment w:val="auto"/>
        <w:rPr>
          <w:rFonts w:hint="eastAsia" w:ascii="Times New Roman" w:hAnsi="Times New Roman" w:eastAsia="方正黑体简体"/>
          <w:b/>
          <w:color w:val="auto"/>
          <w:sz w:val="32"/>
          <w:szCs w:val="32"/>
        </w:rPr>
      </w:pPr>
    </w:p>
    <w:p w14:paraId="6709B318">
      <w:pPr>
        <w:keepNext w:val="0"/>
        <w:keepLines w:val="0"/>
        <w:pageBreakBefore w:val="0"/>
        <w:numPr>
          <w:ilvl w:val="0"/>
          <w:numId w:val="2"/>
        </w:numPr>
        <w:kinsoku/>
        <w:overflowPunct/>
        <w:topLinePunct w:val="0"/>
        <w:autoSpaceDE/>
        <w:autoSpaceDN/>
        <w:bidi w:val="0"/>
        <w:adjustRightInd/>
        <w:snapToGrid/>
        <w:spacing w:line="580" w:lineRule="exact"/>
        <w:ind w:left="0" w:leftChars="0" w:right="-96" w:rightChars="-50" w:firstLine="624" w:firstLineChars="200"/>
        <w:textAlignment w:val="auto"/>
        <w:rPr>
          <w:rFonts w:hint="eastAsia" w:ascii="Times New Roman" w:hAnsi="Times New Roman" w:eastAsia="方正黑体简体"/>
          <w:b/>
          <w:color w:val="auto"/>
          <w:sz w:val="32"/>
          <w:szCs w:val="32"/>
        </w:rPr>
      </w:pPr>
      <w:r>
        <w:rPr>
          <w:rFonts w:hint="eastAsia" w:ascii="Times New Roman" w:hAnsi="Times New Roman" w:eastAsia="方正黑体简体"/>
          <w:b/>
          <w:color w:val="auto"/>
          <w:sz w:val="32"/>
          <w:szCs w:val="32"/>
        </w:rPr>
        <w:t>政府信息公开行政复议、行政诉讼情况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084C2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8DDAA43">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rPr>
            </w:pPr>
            <w:r>
              <w:rPr>
                <w:rFonts w:ascii="Times New Roman" w:hAnsi="Times New Roman" w:eastAsia="黑体"/>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63A223">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rPr>
            </w:pPr>
            <w:r>
              <w:rPr>
                <w:rFonts w:ascii="Times New Roman" w:hAnsi="Times New Roman" w:eastAsia="黑体"/>
                <w:color w:val="auto"/>
                <w:kern w:val="0"/>
                <w:sz w:val="20"/>
                <w:szCs w:val="20"/>
              </w:rPr>
              <w:t>行政诉讼</w:t>
            </w:r>
          </w:p>
        </w:tc>
      </w:tr>
      <w:tr w14:paraId="332DA2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6FC928A">
            <w:pPr>
              <w:keepNext w:val="0"/>
              <w:keepLines w:val="0"/>
              <w:pageBreakBefore w:val="0"/>
              <w:widowControl/>
              <w:kinsoku/>
              <w:overflowPunct/>
              <w:topLinePunct w:val="0"/>
              <w:autoSpaceDE/>
              <w:autoSpaceDN/>
              <w:bidi w:val="0"/>
              <w:adjustRightInd/>
              <w:snapToGrid/>
              <w:spacing w:line="580" w:lineRule="exact"/>
              <w:ind w:left="-136" w:leftChars="-71" w:right="-155" w:rightChars="-81"/>
              <w:jc w:val="center"/>
              <w:textAlignment w:val="auto"/>
              <w:rPr>
                <w:rFonts w:ascii="Times New Roman" w:hAnsi="Times New Roman" w:eastAsia="黑体"/>
                <w:color w:val="auto"/>
                <w:kern w:val="0"/>
                <w:sz w:val="20"/>
                <w:szCs w:val="20"/>
              </w:rPr>
            </w:pPr>
            <w:r>
              <w:rPr>
                <w:rFonts w:ascii="Times New Roman" w:hAnsi="Times New Roman" w:eastAsia="黑体"/>
                <w:color w:val="auto"/>
                <w:kern w:val="0"/>
                <w:sz w:val="20"/>
                <w:szCs w:val="20"/>
              </w:rPr>
              <w:t>结果</w:t>
            </w:r>
          </w:p>
          <w:p w14:paraId="0A67238B">
            <w:pPr>
              <w:keepNext w:val="0"/>
              <w:keepLines w:val="0"/>
              <w:pageBreakBefore w:val="0"/>
              <w:widowControl/>
              <w:kinsoku/>
              <w:overflowPunct/>
              <w:topLinePunct w:val="0"/>
              <w:autoSpaceDE/>
              <w:autoSpaceDN/>
              <w:bidi w:val="0"/>
              <w:adjustRightInd/>
              <w:snapToGrid/>
              <w:spacing w:line="580" w:lineRule="exact"/>
              <w:ind w:left="-136" w:leftChars="-71" w:right="-155" w:rightChars="-81"/>
              <w:jc w:val="center"/>
              <w:textAlignment w:val="auto"/>
              <w:rPr>
                <w:rFonts w:ascii="Times New Roman" w:hAnsi="Times New Roman" w:eastAsia="黑体"/>
                <w:color w:val="auto"/>
              </w:rPr>
            </w:pPr>
            <w:r>
              <w:rPr>
                <w:rFonts w:ascii="Times New Roman" w:hAnsi="Times New Roman" w:eastAsia="黑体"/>
                <w:color w:val="auto"/>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C3AAE95">
            <w:pPr>
              <w:keepNext w:val="0"/>
              <w:keepLines w:val="0"/>
              <w:pageBreakBefore w:val="0"/>
              <w:widowControl/>
              <w:kinsoku/>
              <w:overflowPunct/>
              <w:topLinePunct w:val="0"/>
              <w:autoSpaceDE/>
              <w:autoSpaceDN/>
              <w:bidi w:val="0"/>
              <w:adjustRightInd/>
              <w:snapToGrid/>
              <w:spacing w:line="580" w:lineRule="exact"/>
              <w:ind w:left="-39" w:leftChars="-21" w:right="-120" w:rightChars="-63" w:hanging="1"/>
              <w:jc w:val="center"/>
              <w:textAlignment w:val="auto"/>
              <w:rPr>
                <w:rFonts w:ascii="Times New Roman" w:hAnsi="Times New Roman" w:eastAsia="黑体"/>
                <w:color w:val="auto"/>
              </w:rPr>
            </w:pPr>
            <w:r>
              <w:rPr>
                <w:rFonts w:ascii="Times New Roman" w:hAnsi="Times New Roman" w:eastAsia="黑体"/>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9FBEC0">
            <w:pPr>
              <w:keepNext w:val="0"/>
              <w:keepLines w:val="0"/>
              <w:pageBreakBefore w:val="0"/>
              <w:widowControl/>
              <w:kinsoku/>
              <w:overflowPunct/>
              <w:topLinePunct w:val="0"/>
              <w:autoSpaceDE/>
              <w:autoSpaceDN/>
              <w:bidi w:val="0"/>
              <w:adjustRightInd/>
              <w:snapToGrid/>
              <w:spacing w:line="580" w:lineRule="exact"/>
              <w:ind w:left="-74" w:leftChars="-39" w:right="-88" w:rightChars="-46"/>
              <w:jc w:val="center"/>
              <w:textAlignment w:val="auto"/>
              <w:rPr>
                <w:rFonts w:ascii="Times New Roman" w:hAnsi="Times New Roman" w:eastAsia="黑体"/>
                <w:color w:val="auto"/>
              </w:rPr>
            </w:pPr>
            <w:r>
              <w:rPr>
                <w:rFonts w:ascii="Times New Roman" w:hAnsi="Times New Roman" w:eastAsia="黑体"/>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98C5470">
            <w:pPr>
              <w:keepNext w:val="0"/>
              <w:keepLines w:val="0"/>
              <w:pageBreakBefore w:val="0"/>
              <w:widowControl/>
              <w:kinsoku/>
              <w:overflowPunct/>
              <w:topLinePunct w:val="0"/>
              <w:autoSpaceDE/>
              <w:autoSpaceDN/>
              <w:bidi w:val="0"/>
              <w:adjustRightInd/>
              <w:snapToGrid/>
              <w:spacing w:line="580" w:lineRule="exact"/>
              <w:ind w:left="-107" w:leftChars="-56" w:right="-107" w:rightChars="-56"/>
              <w:jc w:val="center"/>
              <w:textAlignment w:val="auto"/>
              <w:rPr>
                <w:rFonts w:ascii="Times New Roman" w:hAnsi="Times New Roman" w:eastAsia="黑体"/>
                <w:color w:val="auto"/>
                <w:kern w:val="0"/>
                <w:sz w:val="20"/>
                <w:szCs w:val="20"/>
              </w:rPr>
            </w:pPr>
            <w:r>
              <w:rPr>
                <w:rFonts w:ascii="Times New Roman" w:hAnsi="Times New Roman" w:eastAsia="黑体"/>
                <w:color w:val="auto"/>
                <w:kern w:val="0"/>
                <w:sz w:val="20"/>
                <w:szCs w:val="20"/>
              </w:rPr>
              <w:t>尚未</w:t>
            </w:r>
          </w:p>
          <w:p w14:paraId="7BF9C3CE">
            <w:pPr>
              <w:keepNext w:val="0"/>
              <w:keepLines w:val="0"/>
              <w:pageBreakBefore w:val="0"/>
              <w:widowControl/>
              <w:kinsoku/>
              <w:overflowPunct/>
              <w:topLinePunct w:val="0"/>
              <w:autoSpaceDE/>
              <w:autoSpaceDN/>
              <w:bidi w:val="0"/>
              <w:adjustRightInd/>
              <w:snapToGrid/>
              <w:spacing w:line="580" w:lineRule="exact"/>
              <w:ind w:left="-107" w:leftChars="-56" w:right="-107" w:rightChars="-56"/>
              <w:jc w:val="center"/>
              <w:textAlignment w:val="auto"/>
              <w:rPr>
                <w:rFonts w:ascii="Times New Roman" w:hAnsi="Times New Roman" w:eastAsia="黑体"/>
                <w:color w:val="auto"/>
              </w:rPr>
            </w:pPr>
            <w:r>
              <w:rPr>
                <w:rFonts w:ascii="Times New Roman" w:hAnsi="Times New Roman" w:eastAsia="黑体"/>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8EB733">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kern w:val="0"/>
                <w:sz w:val="20"/>
                <w:szCs w:val="20"/>
              </w:rPr>
            </w:pPr>
            <w:r>
              <w:rPr>
                <w:rFonts w:ascii="Times New Roman" w:hAnsi="Times New Roman" w:eastAsia="黑体"/>
                <w:color w:val="auto"/>
                <w:kern w:val="0"/>
                <w:sz w:val="20"/>
                <w:szCs w:val="20"/>
              </w:rPr>
              <w:t>总</w:t>
            </w:r>
          </w:p>
          <w:p w14:paraId="7EC51F58">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rPr>
            </w:pPr>
            <w:r>
              <w:rPr>
                <w:rFonts w:ascii="Times New Roman" w:hAnsi="Times New Roman" w:eastAsia="黑体"/>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E786324">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rPr>
            </w:pPr>
            <w:r>
              <w:rPr>
                <w:rFonts w:ascii="Times New Roman" w:hAnsi="Times New Roman" w:eastAsia="黑体"/>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907791">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rPr>
            </w:pPr>
            <w:bookmarkStart w:id="9" w:name="_Hlk67039688"/>
            <w:r>
              <w:rPr>
                <w:rFonts w:ascii="Times New Roman" w:hAnsi="Times New Roman" w:eastAsia="黑体"/>
                <w:color w:val="auto"/>
                <w:kern w:val="0"/>
                <w:sz w:val="20"/>
                <w:szCs w:val="20"/>
              </w:rPr>
              <w:t>复议后起诉</w:t>
            </w:r>
            <w:bookmarkEnd w:id="9"/>
          </w:p>
        </w:tc>
      </w:tr>
      <w:tr w14:paraId="1AA2F1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DBF11F">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8B7606D">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649AFA">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E553B2">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6199901">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A562862">
            <w:pPr>
              <w:keepNext w:val="0"/>
              <w:keepLines w:val="0"/>
              <w:pageBreakBefore w:val="0"/>
              <w:widowControl/>
              <w:kinsoku/>
              <w:overflowPunct/>
              <w:topLinePunct w:val="0"/>
              <w:autoSpaceDE/>
              <w:autoSpaceDN/>
              <w:bidi w:val="0"/>
              <w:adjustRightInd/>
              <w:snapToGrid/>
              <w:spacing w:line="580" w:lineRule="exact"/>
              <w:ind w:left="-96" w:leftChars="-50" w:right="-115" w:rightChars="-60"/>
              <w:jc w:val="center"/>
              <w:textAlignment w:val="auto"/>
              <w:rPr>
                <w:rFonts w:ascii="Times New Roman" w:hAnsi="Times New Roman" w:eastAsia="黑体"/>
                <w:color w:val="auto"/>
              </w:rPr>
            </w:pPr>
            <w:r>
              <w:rPr>
                <w:rFonts w:ascii="Times New Roman" w:hAnsi="Times New Roman" w:eastAsia="黑体"/>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1278981">
            <w:pPr>
              <w:keepNext w:val="0"/>
              <w:keepLines w:val="0"/>
              <w:pageBreakBefore w:val="0"/>
              <w:widowControl/>
              <w:kinsoku/>
              <w:overflowPunct/>
              <w:topLinePunct w:val="0"/>
              <w:autoSpaceDE/>
              <w:autoSpaceDN/>
              <w:bidi w:val="0"/>
              <w:adjustRightInd/>
              <w:snapToGrid/>
              <w:spacing w:line="580" w:lineRule="exact"/>
              <w:ind w:left="-78" w:leftChars="-41" w:right="-80" w:rightChars="-42"/>
              <w:jc w:val="center"/>
              <w:textAlignment w:val="auto"/>
              <w:rPr>
                <w:rFonts w:ascii="Times New Roman" w:hAnsi="Times New Roman" w:eastAsia="黑体"/>
                <w:color w:val="auto"/>
              </w:rPr>
            </w:pPr>
            <w:r>
              <w:rPr>
                <w:rFonts w:ascii="Times New Roman" w:hAnsi="Times New Roman" w:eastAsia="黑体"/>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43B8042">
            <w:pPr>
              <w:keepNext w:val="0"/>
              <w:keepLines w:val="0"/>
              <w:pageBreakBefore w:val="0"/>
              <w:widowControl/>
              <w:kinsoku/>
              <w:overflowPunct/>
              <w:topLinePunct w:val="0"/>
              <w:autoSpaceDE/>
              <w:autoSpaceDN/>
              <w:bidi w:val="0"/>
              <w:adjustRightInd/>
              <w:snapToGrid/>
              <w:spacing w:line="580" w:lineRule="exact"/>
              <w:ind w:left="-115" w:leftChars="-60" w:right="-124" w:rightChars="-65"/>
              <w:jc w:val="center"/>
              <w:textAlignment w:val="auto"/>
              <w:rPr>
                <w:rFonts w:ascii="Times New Roman" w:hAnsi="Times New Roman" w:eastAsia="黑体"/>
                <w:color w:val="auto"/>
                <w:kern w:val="0"/>
                <w:sz w:val="20"/>
                <w:szCs w:val="20"/>
              </w:rPr>
            </w:pPr>
            <w:r>
              <w:rPr>
                <w:rFonts w:ascii="Times New Roman" w:hAnsi="Times New Roman" w:eastAsia="黑体"/>
                <w:color w:val="auto"/>
                <w:kern w:val="0"/>
                <w:sz w:val="20"/>
                <w:szCs w:val="20"/>
              </w:rPr>
              <w:t>其他</w:t>
            </w:r>
          </w:p>
          <w:p w14:paraId="6AC2DA3D">
            <w:pPr>
              <w:keepNext w:val="0"/>
              <w:keepLines w:val="0"/>
              <w:pageBreakBefore w:val="0"/>
              <w:widowControl/>
              <w:kinsoku/>
              <w:overflowPunct/>
              <w:topLinePunct w:val="0"/>
              <w:autoSpaceDE/>
              <w:autoSpaceDN/>
              <w:bidi w:val="0"/>
              <w:adjustRightInd/>
              <w:snapToGrid/>
              <w:spacing w:line="580" w:lineRule="exact"/>
              <w:ind w:left="-115" w:leftChars="-60" w:right="-124" w:rightChars="-65"/>
              <w:jc w:val="center"/>
              <w:textAlignment w:val="auto"/>
              <w:rPr>
                <w:rFonts w:ascii="Times New Roman" w:hAnsi="Times New Roman" w:eastAsia="黑体"/>
                <w:color w:val="auto"/>
              </w:rPr>
            </w:pPr>
            <w:r>
              <w:rPr>
                <w:rFonts w:ascii="Times New Roman" w:hAnsi="Times New Roman" w:eastAsia="黑体"/>
                <w:color w:val="auto"/>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63354DE">
            <w:pPr>
              <w:keepNext w:val="0"/>
              <w:keepLines w:val="0"/>
              <w:pageBreakBefore w:val="0"/>
              <w:widowControl/>
              <w:kinsoku/>
              <w:overflowPunct/>
              <w:topLinePunct w:val="0"/>
              <w:autoSpaceDE/>
              <w:autoSpaceDN/>
              <w:bidi w:val="0"/>
              <w:adjustRightInd/>
              <w:snapToGrid/>
              <w:spacing w:line="580" w:lineRule="exact"/>
              <w:ind w:left="-149" w:leftChars="-78" w:right="-140" w:rightChars="-73"/>
              <w:jc w:val="center"/>
              <w:textAlignment w:val="auto"/>
              <w:rPr>
                <w:rFonts w:ascii="Times New Roman" w:hAnsi="Times New Roman" w:eastAsia="黑体"/>
                <w:color w:val="auto"/>
                <w:kern w:val="0"/>
                <w:sz w:val="20"/>
                <w:szCs w:val="20"/>
              </w:rPr>
            </w:pPr>
            <w:r>
              <w:rPr>
                <w:rFonts w:ascii="Times New Roman" w:hAnsi="Times New Roman" w:eastAsia="黑体"/>
                <w:color w:val="auto"/>
                <w:kern w:val="0"/>
                <w:sz w:val="20"/>
                <w:szCs w:val="20"/>
              </w:rPr>
              <w:t>尚未</w:t>
            </w:r>
          </w:p>
          <w:p w14:paraId="5D55CF06">
            <w:pPr>
              <w:keepNext w:val="0"/>
              <w:keepLines w:val="0"/>
              <w:pageBreakBefore w:val="0"/>
              <w:widowControl/>
              <w:kinsoku/>
              <w:overflowPunct/>
              <w:topLinePunct w:val="0"/>
              <w:autoSpaceDE/>
              <w:autoSpaceDN/>
              <w:bidi w:val="0"/>
              <w:adjustRightInd/>
              <w:snapToGrid/>
              <w:spacing w:line="580" w:lineRule="exact"/>
              <w:ind w:left="-149" w:leftChars="-78" w:right="-140" w:rightChars="-73"/>
              <w:jc w:val="center"/>
              <w:textAlignment w:val="auto"/>
              <w:rPr>
                <w:rFonts w:ascii="Times New Roman" w:hAnsi="Times New Roman" w:eastAsia="黑体"/>
                <w:color w:val="auto"/>
              </w:rPr>
            </w:pPr>
            <w:r>
              <w:rPr>
                <w:rFonts w:ascii="Times New Roman" w:hAnsi="Times New Roman" w:eastAsia="黑体"/>
                <w:color w:val="auto"/>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095C80">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rPr>
            </w:pPr>
            <w:r>
              <w:rPr>
                <w:rFonts w:ascii="Times New Roman" w:hAnsi="Times New Roman" w:eastAsia="黑体"/>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0CB803">
            <w:pPr>
              <w:keepNext w:val="0"/>
              <w:keepLines w:val="0"/>
              <w:pageBreakBefore w:val="0"/>
              <w:widowControl/>
              <w:kinsoku/>
              <w:overflowPunct/>
              <w:topLinePunct w:val="0"/>
              <w:autoSpaceDE/>
              <w:autoSpaceDN/>
              <w:bidi w:val="0"/>
              <w:adjustRightInd/>
              <w:snapToGrid/>
              <w:spacing w:line="580" w:lineRule="exact"/>
              <w:ind w:left="-90" w:leftChars="-47" w:right="-71" w:rightChars="-37"/>
              <w:jc w:val="center"/>
              <w:textAlignment w:val="auto"/>
              <w:rPr>
                <w:rFonts w:ascii="Times New Roman" w:hAnsi="Times New Roman" w:eastAsia="黑体"/>
                <w:color w:val="auto"/>
              </w:rPr>
            </w:pPr>
            <w:r>
              <w:rPr>
                <w:rFonts w:ascii="Times New Roman" w:hAnsi="Times New Roman" w:eastAsia="黑体"/>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9EE82F">
            <w:pPr>
              <w:keepNext w:val="0"/>
              <w:keepLines w:val="0"/>
              <w:pageBreakBefore w:val="0"/>
              <w:widowControl/>
              <w:kinsoku/>
              <w:overflowPunct/>
              <w:topLinePunct w:val="0"/>
              <w:autoSpaceDE/>
              <w:autoSpaceDN/>
              <w:bidi w:val="0"/>
              <w:adjustRightInd/>
              <w:snapToGrid/>
              <w:spacing w:line="580" w:lineRule="exact"/>
              <w:ind w:left="-124" w:leftChars="-65" w:right="-113" w:rightChars="-59"/>
              <w:jc w:val="center"/>
              <w:textAlignment w:val="auto"/>
              <w:rPr>
                <w:rFonts w:ascii="Times New Roman" w:hAnsi="Times New Roman" w:eastAsia="黑体"/>
                <w:color w:val="auto"/>
                <w:kern w:val="0"/>
                <w:sz w:val="20"/>
                <w:szCs w:val="20"/>
              </w:rPr>
            </w:pPr>
            <w:r>
              <w:rPr>
                <w:rFonts w:ascii="Times New Roman" w:hAnsi="Times New Roman" w:eastAsia="黑体"/>
                <w:color w:val="auto"/>
                <w:kern w:val="0"/>
                <w:sz w:val="20"/>
                <w:szCs w:val="20"/>
              </w:rPr>
              <w:t>结果</w:t>
            </w:r>
          </w:p>
          <w:p w14:paraId="7BACCAF0">
            <w:pPr>
              <w:keepNext w:val="0"/>
              <w:keepLines w:val="0"/>
              <w:pageBreakBefore w:val="0"/>
              <w:widowControl/>
              <w:kinsoku/>
              <w:overflowPunct/>
              <w:topLinePunct w:val="0"/>
              <w:autoSpaceDE/>
              <w:autoSpaceDN/>
              <w:bidi w:val="0"/>
              <w:adjustRightInd/>
              <w:snapToGrid/>
              <w:spacing w:line="580" w:lineRule="exact"/>
              <w:ind w:left="-124" w:leftChars="-65" w:right="-113" w:rightChars="-59"/>
              <w:jc w:val="center"/>
              <w:textAlignment w:val="auto"/>
              <w:rPr>
                <w:rFonts w:ascii="Times New Roman" w:hAnsi="Times New Roman" w:eastAsia="黑体"/>
                <w:color w:val="auto"/>
              </w:rPr>
            </w:pPr>
            <w:r>
              <w:rPr>
                <w:rFonts w:ascii="Times New Roman" w:hAnsi="Times New Roman" w:eastAsia="黑体"/>
                <w:color w:val="auto"/>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3D871BD">
            <w:pPr>
              <w:keepNext w:val="0"/>
              <w:keepLines w:val="0"/>
              <w:pageBreakBefore w:val="0"/>
              <w:widowControl/>
              <w:kinsoku/>
              <w:overflowPunct/>
              <w:topLinePunct w:val="0"/>
              <w:autoSpaceDE/>
              <w:autoSpaceDN/>
              <w:bidi w:val="0"/>
              <w:adjustRightInd/>
              <w:snapToGrid/>
              <w:spacing w:line="580" w:lineRule="exact"/>
              <w:ind w:left="-158" w:leftChars="-83" w:right="-122" w:rightChars="-64" w:hanging="1"/>
              <w:jc w:val="center"/>
              <w:textAlignment w:val="auto"/>
              <w:rPr>
                <w:rFonts w:ascii="Times New Roman" w:hAnsi="Times New Roman" w:eastAsia="黑体"/>
                <w:color w:val="auto"/>
                <w:kern w:val="0"/>
                <w:sz w:val="20"/>
                <w:szCs w:val="20"/>
              </w:rPr>
            </w:pPr>
            <w:r>
              <w:rPr>
                <w:rFonts w:ascii="Times New Roman" w:hAnsi="Times New Roman" w:eastAsia="黑体"/>
                <w:color w:val="auto"/>
                <w:kern w:val="0"/>
                <w:sz w:val="20"/>
                <w:szCs w:val="20"/>
              </w:rPr>
              <w:t>其他</w:t>
            </w:r>
          </w:p>
          <w:p w14:paraId="5BEC762D">
            <w:pPr>
              <w:keepNext w:val="0"/>
              <w:keepLines w:val="0"/>
              <w:pageBreakBefore w:val="0"/>
              <w:widowControl/>
              <w:kinsoku/>
              <w:overflowPunct/>
              <w:topLinePunct w:val="0"/>
              <w:autoSpaceDE/>
              <w:autoSpaceDN/>
              <w:bidi w:val="0"/>
              <w:adjustRightInd/>
              <w:snapToGrid/>
              <w:spacing w:line="580" w:lineRule="exact"/>
              <w:ind w:left="-158" w:leftChars="-83" w:right="-122" w:rightChars="-64" w:hanging="1"/>
              <w:jc w:val="center"/>
              <w:textAlignment w:val="auto"/>
              <w:rPr>
                <w:rFonts w:ascii="Times New Roman" w:hAnsi="Times New Roman" w:eastAsia="黑体"/>
                <w:color w:val="auto"/>
              </w:rPr>
            </w:pPr>
            <w:r>
              <w:rPr>
                <w:rFonts w:ascii="Times New Roman" w:hAnsi="Times New Roman" w:eastAsia="黑体"/>
                <w:color w:val="auto"/>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63D035">
            <w:pPr>
              <w:keepNext w:val="0"/>
              <w:keepLines w:val="0"/>
              <w:pageBreakBefore w:val="0"/>
              <w:widowControl/>
              <w:kinsoku/>
              <w:overflowPunct/>
              <w:topLinePunct w:val="0"/>
              <w:autoSpaceDE/>
              <w:autoSpaceDN/>
              <w:bidi w:val="0"/>
              <w:adjustRightInd/>
              <w:snapToGrid/>
              <w:spacing w:line="580" w:lineRule="exact"/>
              <w:ind w:left="-61" w:leftChars="-33" w:right="-96" w:rightChars="-50" w:hanging="2" w:hangingChars="1"/>
              <w:jc w:val="center"/>
              <w:textAlignment w:val="auto"/>
              <w:rPr>
                <w:rFonts w:ascii="Times New Roman" w:hAnsi="Times New Roman" w:eastAsia="黑体"/>
                <w:color w:val="auto"/>
              </w:rPr>
            </w:pPr>
            <w:r>
              <w:rPr>
                <w:rFonts w:ascii="Times New Roman" w:hAnsi="Times New Roman" w:eastAsia="黑体"/>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0E67A6">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rPr>
            </w:pPr>
            <w:r>
              <w:rPr>
                <w:rFonts w:ascii="Times New Roman" w:hAnsi="Times New Roman" w:eastAsia="黑体"/>
                <w:color w:val="auto"/>
                <w:kern w:val="0"/>
                <w:sz w:val="20"/>
                <w:szCs w:val="20"/>
              </w:rPr>
              <w:t>总计</w:t>
            </w:r>
          </w:p>
        </w:tc>
      </w:tr>
      <w:tr w14:paraId="136718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F9069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s="Times New Roman"/>
                <w:color w:val="auto"/>
                <w:lang w:val="en-US" w:eastAsia="zh-CN" w:bidi="ar-SA"/>
              </w:rPr>
            </w:pPr>
            <w:r>
              <w:rPr>
                <w:rFonts w:hint="eastAsia" w:ascii="Times New Roman" w:hAnsi="Times New Roman"/>
                <w:color w:val="auto"/>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618D09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s="Times New Roman"/>
                <w:color w:val="auto"/>
                <w:lang w:val="en-US" w:eastAsia="zh-CN" w:bidi="ar-SA"/>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D9B635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s="Times New Roman"/>
                <w:color w:val="auto"/>
                <w:lang w:val="en-US" w:eastAsia="zh-CN" w:bidi="ar-SA"/>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018DCD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s="Times New Roman"/>
                <w:color w:val="auto"/>
                <w:highlight w:val="none"/>
                <w:lang w:val="en-US" w:eastAsia="zh-CN" w:bidi="ar-SA"/>
              </w:rPr>
            </w:pPr>
            <w:r>
              <w:rPr>
                <w:rFonts w:hint="eastAsia" w:ascii="Times New Roman" w:hAnsi="Times New Roman"/>
                <w:color w:val="auto"/>
                <w:highlight w:val="none"/>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3AD8EDC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s="Times New Roman"/>
                <w:color w:val="auto"/>
                <w:highlight w:val="none"/>
                <w:lang w:val="en-US" w:eastAsia="zh-CN" w:bidi="ar-SA"/>
              </w:rPr>
            </w:pPr>
            <w:r>
              <w:rPr>
                <w:rFonts w:hint="eastAsia" w:ascii="Times New Roman" w:hAnsi="Times New Roman"/>
                <w:color w:val="auto"/>
                <w:highlight w:val="none"/>
                <w:lang w:val="en-US" w:eastAsia="zh-CN"/>
              </w:rPr>
              <w:t>1</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24000C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s="Times New Roman"/>
                <w:color w:val="auto"/>
                <w:lang w:val="en-US" w:eastAsia="zh-CN" w:bidi="ar-SA"/>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5EC923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s="Times New Roman"/>
                <w:color w:val="auto"/>
                <w:lang w:val="en-US" w:eastAsia="zh-CN" w:bidi="ar-SA"/>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11542A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328C7A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olor w:val="auto"/>
                <w:lang w:val="en-US" w:eastAsia="zh-CN"/>
              </w:rPr>
            </w:pPr>
            <w:r>
              <w:rPr>
                <w:rFonts w:hint="eastAsia" w:ascii="Times New Roman" w:hAnsi="Times New Roman"/>
                <w:color w:val="auto"/>
                <w:lang w:val="en-US" w:eastAsia="zh-CN"/>
              </w:rPr>
              <w:t>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F54791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olor w:val="auto"/>
                <w:lang w:val="en-US" w:eastAsia="zh-CN"/>
              </w:rPr>
            </w:pPr>
            <w:r>
              <w:rPr>
                <w:rFonts w:hint="eastAsia" w:ascii="Times New Roman" w:hAnsi="Times New Roman"/>
                <w:color w:val="auto"/>
                <w:lang w:val="en-US" w:eastAsia="zh-CN"/>
              </w:rPr>
              <w:t>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CDCE0BC">
            <w:pPr>
              <w:keepNext w:val="0"/>
              <w:keepLines w:val="0"/>
              <w:pageBreakBefore w:val="0"/>
              <w:widowControl/>
              <w:kinsoku/>
              <w:overflowPunct/>
              <w:topLinePunct w:val="0"/>
              <w:autoSpaceDE/>
              <w:autoSpaceDN/>
              <w:bidi w:val="0"/>
              <w:adjustRightInd/>
              <w:snapToGrid/>
              <w:spacing w:after="180" w:line="580" w:lineRule="exact"/>
              <w:ind w:firstLine="192" w:firstLineChars="100"/>
              <w:textAlignment w:val="auto"/>
              <w:rPr>
                <w:rFonts w:hint="eastAsia" w:ascii="Times New Roman" w:hAnsi="Times New Roman" w:eastAsia="宋体"/>
                <w:color w:val="auto"/>
                <w:lang w:val="en-US" w:eastAsia="zh-CN"/>
              </w:rPr>
            </w:pPr>
            <w:r>
              <w:rPr>
                <w:rFonts w:hint="eastAsia" w:ascii="Times New Roman" w:hAnsi="Times New Roman"/>
                <w:color w:val="auto"/>
                <w:lang w:val="en-US" w:eastAsia="zh-CN"/>
              </w:rPr>
              <w:t>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E98FC6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462E61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3B36A3E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97EBC8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olor w:val="auto"/>
                <w:lang w:val="en-US" w:eastAsia="zh-CN"/>
              </w:rPr>
            </w:pPr>
            <w:r>
              <w:rPr>
                <w:rFonts w:hint="eastAsia" w:ascii="Times New Roman" w:hAnsi="Times New Roman"/>
                <w:color w:val="auto"/>
                <w:sz w:val="21"/>
                <w:szCs w:val="21"/>
                <w:lang w:val="en-US" w:eastAsia="zh-CN"/>
              </w:rPr>
              <w:t>1</w:t>
            </w:r>
          </w:p>
        </w:tc>
      </w:tr>
    </w:tbl>
    <w:p w14:paraId="494ADFA2">
      <w:pPr>
        <w:keepNext w:val="0"/>
        <w:keepLines w:val="0"/>
        <w:pageBreakBefore w:val="0"/>
        <w:numPr>
          <w:ilvl w:val="0"/>
          <w:numId w:val="0"/>
        </w:numPr>
        <w:kinsoku/>
        <w:overflowPunct/>
        <w:topLinePunct w:val="0"/>
        <w:autoSpaceDE/>
        <w:autoSpaceDN/>
        <w:bidi w:val="0"/>
        <w:adjustRightInd/>
        <w:snapToGrid/>
        <w:spacing w:line="580" w:lineRule="exact"/>
        <w:ind w:right="-96" w:rightChars="-50"/>
        <w:textAlignment w:val="auto"/>
        <w:rPr>
          <w:rFonts w:hint="eastAsia" w:ascii="Times New Roman" w:hAnsi="Times New Roman" w:eastAsia="方正黑体简体"/>
          <w:b/>
          <w:sz w:val="32"/>
          <w:szCs w:val="32"/>
        </w:rPr>
      </w:pPr>
    </w:p>
    <w:p w14:paraId="7489AB4B">
      <w:pPr>
        <w:keepNext w:val="0"/>
        <w:keepLines w:val="0"/>
        <w:pageBreakBefore w:val="0"/>
        <w:numPr>
          <w:ilvl w:val="0"/>
          <w:numId w:val="2"/>
        </w:numPr>
        <w:kinsoku/>
        <w:overflowPunct/>
        <w:topLinePunct w:val="0"/>
        <w:autoSpaceDE/>
        <w:autoSpaceDN/>
        <w:bidi w:val="0"/>
        <w:adjustRightInd/>
        <w:snapToGrid/>
        <w:spacing w:line="580" w:lineRule="exact"/>
        <w:ind w:left="0" w:leftChars="0" w:right="-96" w:rightChars="-50" w:firstLine="624" w:firstLineChars="200"/>
        <w:textAlignment w:val="auto"/>
        <w:rPr>
          <w:rFonts w:hint="eastAsia" w:ascii="Times New Roman" w:hAnsi="Times New Roman" w:eastAsia="方正黑体简体"/>
          <w:b/>
          <w:sz w:val="32"/>
          <w:szCs w:val="32"/>
        </w:rPr>
      </w:pPr>
      <w:r>
        <w:rPr>
          <w:rFonts w:hint="eastAsia" w:ascii="Times New Roman" w:hAnsi="Times New Roman" w:eastAsia="方正黑体简体"/>
          <w:b/>
          <w:sz w:val="32"/>
          <w:szCs w:val="32"/>
        </w:rPr>
        <w:t>存在的主要问题及改进情况</w:t>
      </w:r>
    </w:p>
    <w:p w14:paraId="7E281069">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一是政府信息公开平台内容以主动公开为主，交流互动性不足；二是政策解读质量有明显提升，取得一定成效，但政策解读角度缺乏多样性；三是虽然与往年相比，本年度政务公开信息稿件报送数量有明显提升，但提炼、总结的工作创新不够突出。</w:t>
      </w:r>
    </w:p>
    <w:p w14:paraId="4D4C9C7A">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default" w:ascii="Times New Roman" w:hAnsi="Times New Roman" w:eastAsia="方正仿宋简体" w:cs="宋体"/>
          <w:b/>
          <w:bCs/>
          <w:sz w:val="32"/>
          <w:szCs w:val="32"/>
          <w:lang w:val="en-US" w:eastAsia="zh-CN"/>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针对存在的问题，主要从以下方面改进：一是利用在线调查、意见征集、政务新媒体开展食品安全“你点我检”抽检品种民意调查，根据“点”出的消费者最关心的食品品种，组织开展抽样检验，积极回应群众普遍关注的食品安全问题。通过网站开展食品安全宣传周、道路交通、公共服务等民众关心的在线调查，调动了群众参与的积极性，增强了群众参与意识，通过多种方式，广泛征求社会各界意见建议，力求意见征集更广泛、更全面、更具体、更有针对性；二是对涉及面广、与民生关系紧密、社会关注度高、影响市场预期等重要政策性文件均进行解读，对并有关政策性文件进行图片解读、视频解读，丰富解读形式，增加运用图解、视频解读、动画动漫、媒体解读、专家解读等多种形式和角度，不断提升政策解读的质量和效果；三是严格要求各部门保证报送政务公开信息质量，</w:t>
      </w:r>
      <w:bookmarkStart w:id="10" w:name="OLE_LINK1"/>
      <w:r>
        <w:rPr>
          <w:rFonts w:hint="default" w:ascii="Times New Roman" w:hAnsi="Times New Roman" w:eastAsia="方正仿宋简体" w:cs="宋体"/>
          <w:b/>
          <w:bCs/>
          <w:sz w:val="32"/>
          <w:szCs w:val="32"/>
          <w:lang w:val="en-US" w:eastAsia="zh-CN"/>
        </w:rPr>
        <w:t>提炼从事政务公开业务相关人员在实际工作中的规律性做法、特色工作举措、理论研究成果等方面的心得</w:t>
      </w:r>
      <w:r>
        <w:rPr>
          <w:rFonts w:hint="eastAsia" w:ascii="Times New Roman" w:hAnsi="Times New Roman" w:eastAsia="方正仿宋简体" w:cs="宋体"/>
          <w:b/>
          <w:bCs/>
          <w:sz w:val="32"/>
          <w:szCs w:val="32"/>
          <w:lang w:val="en-US" w:eastAsia="zh-CN"/>
        </w:rPr>
        <w:t>，避免报送部门业务工作信息、篇幅较短、格式混乱等问题。</w:t>
      </w:r>
    </w:p>
    <w:p w14:paraId="78E6470F">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黑体简体"/>
          <w:b/>
          <w:sz w:val="32"/>
          <w:szCs w:val="32"/>
        </w:rPr>
      </w:pPr>
      <w:r>
        <w:rPr>
          <w:rFonts w:hint="eastAsia" w:ascii="Times New Roman" w:hAnsi="Times New Roman" w:eastAsia="方正黑体简体"/>
          <w:b/>
          <w:sz w:val="32"/>
          <w:szCs w:val="32"/>
        </w:rPr>
        <w:t>六、其他需要报告的事项</w:t>
      </w:r>
    </w:p>
    <w:p w14:paraId="7080A9A1">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楷体简体"/>
          <w:b/>
          <w:color w:val="000000" w:themeColor="text1"/>
          <w:sz w:val="32"/>
          <w:szCs w:val="32"/>
          <w:lang w:eastAsia="zh-CN"/>
          <w14:textFill>
            <w14:solidFill>
              <w14:schemeClr w14:val="tx1"/>
            </w14:solidFill>
          </w14:textFill>
        </w:rPr>
      </w:pPr>
      <w:r>
        <w:rPr>
          <w:rFonts w:hint="eastAsia" w:ascii="Times New Roman" w:hAnsi="Times New Roman" w:eastAsia="方正楷体简体"/>
          <w:b/>
          <w:color w:val="000000" w:themeColor="text1"/>
          <w:sz w:val="32"/>
          <w:szCs w:val="32"/>
          <w14:textFill>
            <w14:solidFill>
              <w14:schemeClr w14:val="tx1"/>
            </w14:solidFill>
          </w14:textFill>
        </w:rPr>
        <w:t>（一）依据《政府信息公开信息处理费管理办法》收取信息处理费的情况</w:t>
      </w:r>
    </w:p>
    <w:p w14:paraId="146B7016">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仿宋简体" w:cs="宋体"/>
          <w:b/>
          <w:bCs/>
          <w:sz w:val="32"/>
          <w:szCs w:val="32"/>
          <w:lang w:val="en-US" w:eastAsia="zh-CN"/>
        </w:rPr>
      </w:pPr>
      <w:r>
        <w:rPr>
          <w:rFonts w:hint="eastAsia" w:ascii="Times New Roman" w:hAnsi="Times New Roman" w:eastAsia="方正仿宋简体" w:cs="宋体"/>
          <w:b/>
          <w:bCs/>
          <w:sz w:val="32"/>
          <w:szCs w:val="32"/>
          <w:lang w:val="en-US" w:eastAsia="zh-CN"/>
        </w:rPr>
        <w:t>2023年曲阜市政府办公室未产生政府信息公开信息处理费。</w:t>
      </w:r>
    </w:p>
    <w:p w14:paraId="2B452810">
      <w:pPr>
        <w:keepNext w:val="0"/>
        <w:keepLines w:val="0"/>
        <w:pageBreakBefore w:val="0"/>
        <w:numPr>
          <w:ilvl w:val="0"/>
          <w:numId w:val="3"/>
        </w:numPr>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楷体简体"/>
          <w:b/>
          <w:color w:val="000000" w:themeColor="text1"/>
          <w:sz w:val="32"/>
          <w:szCs w:val="32"/>
          <w14:textFill>
            <w14:solidFill>
              <w14:schemeClr w14:val="tx1"/>
            </w14:solidFill>
          </w14:textFill>
        </w:rPr>
      </w:pPr>
      <w:r>
        <w:rPr>
          <w:rFonts w:hint="eastAsia" w:ascii="Times New Roman" w:hAnsi="Times New Roman" w:eastAsia="方正楷体简体"/>
          <w:b/>
          <w:color w:val="000000" w:themeColor="text1"/>
          <w:sz w:val="32"/>
          <w:szCs w:val="32"/>
          <w14:textFill>
            <w14:solidFill>
              <w14:schemeClr w14:val="tx1"/>
            </w14:solidFill>
          </w14:textFill>
        </w:rPr>
        <w:t>落实上级年度政务公开工作要点情况</w:t>
      </w:r>
    </w:p>
    <w:p w14:paraId="55F0CA5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96" w:rightChars="-50" w:firstLine="624" w:firstLineChars="200"/>
        <w:textAlignment w:val="auto"/>
        <w:rPr>
          <w:rFonts w:hint="default" w:ascii="Times New Roman" w:hAnsi="Times New Roman" w:eastAsia="方正楷体简体"/>
          <w:b/>
          <w:color w:val="000000" w:themeColor="text1"/>
          <w:sz w:val="32"/>
          <w:szCs w:val="32"/>
          <w:lang w:val="en-US"/>
          <w14:textFill>
            <w14:solidFill>
              <w14:schemeClr w14:val="tx1"/>
            </w14:solidFill>
          </w14:textFill>
        </w:rPr>
      </w:pPr>
      <w:r>
        <w:rPr>
          <w:rFonts w:hint="eastAsia" w:eastAsia="方正仿宋简体" w:cs="宋体"/>
          <w:b/>
          <w:bCs/>
          <w:sz w:val="32"/>
          <w:szCs w:val="32"/>
          <w:lang w:val="en-US" w:eastAsia="zh-CN"/>
        </w:rPr>
        <w:t>2023</w:t>
      </w:r>
      <w:r>
        <w:rPr>
          <w:rFonts w:hint="eastAsia" w:ascii="Times New Roman" w:hAnsi="Times New Roman" w:eastAsia="方正仿宋简体" w:cs="宋体"/>
          <w:b/>
          <w:bCs/>
          <w:sz w:val="32"/>
          <w:szCs w:val="32"/>
          <w:lang w:val="en-US" w:eastAsia="zh-CN"/>
        </w:rPr>
        <w:t>年度</w:t>
      </w:r>
      <w:r>
        <w:rPr>
          <w:rFonts w:hint="eastAsia" w:eastAsia="方正仿宋简体" w:cs="宋体"/>
          <w:b/>
          <w:bCs/>
          <w:sz w:val="32"/>
          <w:szCs w:val="32"/>
          <w:lang w:val="en-US" w:eastAsia="zh-CN"/>
        </w:rPr>
        <w:t>，</w:t>
      </w:r>
      <w:r>
        <w:rPr>
          <w:rFonts w:hint="eastAsia" w:ascii="Times New Roman" w:hAnsi="Times New Roman" w:eastAsia="方正仿宋简体" w:cs="宋体"/>
          <w:b/>
          <w:bCs/>
          <w:sz w:val="32"/>
          <w:szCs w:val="32"/>
          <w:lang w:val="en-US" w:eastAsia="zh-CN"/>
        </w:rPr>
        <w:t>曲阜市政府办公室</w:t>
      </w:r>
      <w:r>
        <w:rPr>
          <w:rFonts w:hint="eastAsia" w:ascii="Times New Roman" w:hAnsi="Times New Roman" w:eastAsia="方正仿宋简体" w:cs="方正仿宋简体"/>
          <w:b/>
          <w:color w:val="000000"/>
          <w:sz w:val="32"/>
          <w:szCs w:val="32"/>
          <w:highlight w:val="none"/>
        </w:rPr>
        <w:t>认真落实《2023年山东省政务公开工作要点》</w:t>
      </w:r>
      <w:r>
        <w:rPr>
          <w:rFonts w:hint="eastAsia" w:ascii="Times New Roman" w:hAnsi="Times New Roman" w:eastAsia="方正仿宋简体" w:cs="方正仿宋简体"/>
          <w:b/>
          <w:color w:val="000000"/>
          <w:sz w:val="32"/>
          <w:szCs w:val="32"/>
          <w:highlight w:val="none"/>
          <w:lang w:eastAsia="zh-CN"/>
        </w:rPr>
        <w:t>《2023年济宁市政务公开重点工作任务分解表》</w:t>
      </w:r>
      <w:r>
        <w:rPr>
          <w:rFonts w:hint="eastAsia" w:ascii="Times New Roman" w:hAnsi="Times New Roman" w:eastAsia="方正仿宋简体" w:cs="方正仿宋简体"/>
          <w:b/>
          <w:color w:val="000000"/>
          <w:sz w:val="32"/>
          <w:szCs w:val="32"/>
          <w:highlight w:val="none"/>
          <w:lang w:val="en-US" w:eastAsia="zh-CN"/>
        </w:rPr>
        <w:t>要求。一是加大促进高校毕业生、退役军人、困难人群等就业创业政策措施公开力度，推进义务教育招生入学政策公开，通过多种形式及时公开义务教育招生方案、招生范围、招生程序、报名条件、学校情况、录取结果、咨询方式等信息，进一步推进医疗保障、食品药品安全、养老服务政策等信息公开。二是提升政策解读回应实效，通过政策问答、在线访谈、媒体专访、新闻发布会等多种方式，运用数字化、图表图解、音频视频、卡通动漫等形式进行解读，提升解读的准确性、权威性、贴近性，使解读信息更加可视、可读、可感。三是提高行政决策预公开力度，明确重大决策征求意见的范围、方式及有关要求，涉及公共利益和公众权益的重大事项，除依法应当保密的外，主动向社会公布决策草案及其说明、决策依据等，广泛听取意见，及时公布意见收集及采纳情况，提高行政决策的科学化、民主化、法治化水平。</w:t>
      </w:r>
    </w:p>
    <w:p w14:paraId="36B51CCB">
      <w:pPr>
        <w:keepNext w:val="0"/>
        <w:keepLines w:val="0"/>
        <w:pageBreakBefore w:val="0"/>
        <w:numPr>
          <w:ilvl w:val="0"/>
          <w:numId w:val="3"/>
        </w:numPr>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楷体简体"/>
          <w:b/>
          <w:color w:val="000000" w:themeColor="text1"/>
          <w:sz w:val="32"/>
          <w:szCs w:val="32"/>
          <w:lang w:val="en-US" w:eastAsia="zh-CN"/>
          <w14:textFill>
            <w14:solidFill>
              <w14:schemeClr w14:val="tx1"/>
            </w14:solidFill>
          </w14:textFill>
        </w:rPr>
      </w:pPr>
      <w:r>
        <w:rPr>
          <w:rFonts w:hint="eastAsia" w:ascii="Times New Roman" w:hAnsi="Times New Roman" w:eastAsia="方正楷体简体"/>
          <w:b/>
          <w:color w:val="000000" w:themeColor="text1"/>
          <w:sz w:val="32"/>
          <w:szCs w:val="32"/>
          <w:lang w:val="en-US" w:eastAsia="zh-CN"/>
          <w14:textFill>
            <w14:solidFill>
              <w14:schemeClr w14:val="tx1"/>
            </w14:solidFill>
          </w14:textFill>
        </w:rPr>
        <w:t>本年度人大代表建议和政协提案办理结果公开情况情况</w:t>
      </w:r>
    </w:p>
    <w:p w14:paraId="14259B2A">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楷体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宋体"/>
          <w:b/>
          <w:bCs/>
          <w:sz w:val="32"/>
          <w:szCs w:val="32"/>
          <w:lang w:val="en-US" w:eastAsia="zh-CN"/>
        </w:rPr>
        <w:t>本年度市政府办公室未收到人大代表建议和政协提案</w:t>
      </w:r>
      <w:r>
        <w:rPr>
          <w:rFonts w:hint="eastAsia" w:eastAsia="方正仿宋简体" w:cs="宋体"/>
          <w:b/>
          <w:bCs/>
          <w:sz w:val="32"/>
          <w:szCs w:val="32"/>
          <w:lang w:val="en-US" w:eastAsia="zh-CN"/>
        </w:rPr>
        <w:t>。</w:t>
      </w:r>
    </w:p>
    <w:p w14:paraId="0A75215E">
      <w:pPr>
        <w:keepNext w:val="0"/>
        <w:keepLines w:val="0"/>
        <w:pageBreakBefore w:val="0"/>
        <w:numPr>
          <w:ilvl w:val="0"/>
          <w:numId w:val="3"/>
        </w:numPr>
        <w:kinsoku/>
        <w:overflowPunct/>
        <w:topLinePunct w:val="0"/>
        <w:autoSpaceDE/>
        <w:autoSpaceDN/>
        <w:bidi w:val="0"/>
        <w:adjustRightInd/>
        <w:snapToGrid/>
        <w:spacing w:line="580" w:lineRule="exact"/>
        <w:ind w:left="0" w:leftChars="0" w:right="-96" w:rightChars="-50" w:firstLine="624" w:firstLineChars="200"/>
        <w:textAlignment w:val="auto"/>
        <w:rPr>
          <w:rFonts w:hint="eastAsia" w:ascii="Times New Roman" w:hAnsi="Times New Roman" w:eastAsia="方正楷体简体"/>
          <w:b/>
          <w:color w:val="000000" w:themeColor="text1"/>
          <w:sz w:val="32"/>
          <w:szCs w:val="32"/>
          <w:lang w:val="en-US" w:eastAsia="zh-CN"/>
          <w14:textFill>
            <w14:solidFill>
              <w14:schemeClr w14:val="tx1"/>
            </w14:solidFill>
          </w14:textFill>
        </w:rPr>
      </w:pPr>
      <w:r>
        <w:rPr>
          <w:rFonts w:hint="eastAsia" w:ascii="Times New Roman" w:hAnsi="Times New Roman" w:eastAsia="方正楷体简体"/>
          <w:b/>
          <w:color w:val="000000" w:themeColor="text1"/>
          <w:sz w:val="32"/>
          <w:szCs w:val="32"/>
          <w:lang w:val="en-US" w:eastAsia="zh-CN"/>
          <w14:textFill>
            <w14:solidFill>
              <w14:schemeClr w14:val="tx1"/>
            </w14:solidFill>
          </w14:textFill>
        </w:rPr>
        <w:t>本年度政务公开工作创新情况</w:t>
      </w:r>
    </w:p>
    <w:p w14:paraId="4AB1C8B9">
      <w:pPr>
        <w:keepNext w:val="0"/>
        <w:keepLines w:val="0"/>
        <w:pageBreakBefore w:val="0"/>
        <w:widowControl w:val="0"/>
        <w:numPr>
          <w:ilvl w:val="0"/>
          <w:numId w:val="4"/>
        </w:numPr>
        <w:kinsoku/>
        <w:wordWrap/>
        <w:overflowPunct/>
        <w:topLinePunct w:val="0"/>
        <w:autoSpaceDE/>
        <w:autoSpaceDN/>
        <w:bidi w:val="0"/>
        <w:adjustRightInd/>
        <w:snapToGrid/>
        <w:ind w:firstLine="624" w:firstLineChars="200"/>
        <w:jc w:val="both"/>
        <w:textAlignment w:val="auto"/>
        <w:rPr>
          <w:rFonts w:hint="eastAsia" w:ascii="Times New Roman" w:hAnsi="Times New Roman"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创新政策解读形式。加强政策解读材料质量把关工作，确保解读材料中的制定背景、决策依据、出台目的、重要举措、解读联系人及联系电话等要素完整。不断丰富改进解读形式，减少简单枯燥的文字陈列，多采用图片、数据、图表等易看易懂的工具，不断提高政策可读性和知晓度，整理制作政策解读材料200余条，进一步提高政策解读的科学性、权威性和有效性。研究制作政策文件相关解读AI短视频思路、方法，力争以更通俗易懂、贴近现代化转播方式的形式开展政策解读工作。</w:t>
      </w:r>
    </w:p>
    <w:p w14:paraId="25726BEA">
      <w:pPr>
        <w:keepNext w:val="0"/>
        <w:keepLines w:val="0"/>
        <w:pageBreakBefore w:val="0"/>
        <w:widowControl w:val="0"/>
        <w:numPr>
          <w:ilvl w:val="0"/>
          <w:numId w:val="4"/>
        </w:numPr>
        <w:kinsoku/>
        <w:wordWrap/>
        <w:overflowPunct/>
        <w:topLinePunct w:val="0"/>
        <w:autoSpaceDE/>
        <w:autoSpaceDN/>
        <w:bidi w:val="0"/>
        <w:adjustRightInd/>
        <w:snapToGrid/>
        <w:ind w:firstLine="624" w:firstLineChars="200"/>
        <w:jc w:val="both"/>
        <w:textAlignment w:val="auto"/>
        <w:rPr>
          <w:rFonts w:hint="eastAsia" w:ascii="Times New Roman" w:hAnsi="Times New Roman"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建立“制定+发布+解读”三合一政策公开矩阵。出台重大政策，坚持</w:t>
      </w:r>
      <w:r>
        <w:rPr>
          <w:rFonts w:hint="eastAsia" w:ascii="Times New Roman" w:hAnsi="Times New Roman" w:eastAsia="方正仿宋简体" w:cs="方正仿宋简体"/>
          <w:b/>
          <w:bCs/>
          <w:sz w:val="32"/>
          <w:szCs w:val="32"/>
        </w:rPr>
        <w:t>政策制定</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b/>
          <w:bCs/>
          <w:sz w:val="32"/>
          <w:szCs w:val="32"/>
        </w:rPr>
        <w:t>政策</w:t>
      </w:r>
      <w:r>
        <w:rPr>
          <w:rFonts w:hint="eastAsia" w:ascii="Times New Roman" w:hAnsi="Times New Roman" w:eastAsia="方正仿宋简体" w:cs="方正仿宋简体"/>
          <w:b/>
          <w:bCs/>
          <w:sz w:val="32"/>
          <w:szCs w:val="32"/>
          <w:lang w:val="en-US" w:eastAsia="zh-CN"/>
        </w:rPr>
        <w:t>发布</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b/>
          <w:bCs/>
          <w:sz w:val="32"/>
          <w:szCs w:val="32"/>
          <w:lang w:val="en-US" w:eastAsia="zh-CN"/>
        </w:rPr>
        <w:t>政策解读三合一“齐步走”。</w:t>
      </w:r>
      <w:r>
        <w:rPr>
          <w:rFonts w:hint="eastAsia" w:ascii="Times New Roman" w:hAnsi="Times New Roman" w:eastAsia="方正仿宋简体" w:cs="方正仿宋简体"/>
          <w:b/>
          <w:bCs/>
          <w:sz w:val="32"/>
          <w:szCs w:val="32"/>
        </w:rPr>
        <w:t>按照“谁起草、谁</w:t>
      </w:r>
      <w:r>
        <w:rPr>
          <w:rFonts w:hint="eastAsia" w:ascii="Times New Roman" w:hAnsi="Times New Roman" w:eastAsia="方正仿宋简体" w:cs="方正仿宋简体"/>
          <w:b/>
          <w:bCs/>
          <w:sz w:val="32"/>
          <w:szCs w:val="32"/>
          <w:lang w:eastAsia="zh-CN"/>
        </w:rPr>
        <w:t>解读</w:t>
      </w:r>
      <w:r>
        <w:rPr>
          <w:rFonts w:hint="eastAsia" w:ascii="Times New Roman" w:hAnsi="Times New Roman" w:eastAsia="方正仿宋简体" w:cs="方正仿宋简体"/>
          <w:b/>
          <w:bCs/>
          <w:sz w:val="32"/>
          <w:szCs w:val="32"/>
        </w:rPr>
        <w:t>”</w:t>
      </w:r>
      <w:r>
        <w:rPr>
          <w:rFonts w:hint="eastAsia" w:ascii="Times New Roman" w:hAnsi="Times New Roman" w:eastAsia="方正仿宋简体" w:cs="方正仿宋简体"/>
          <w:b/>
          <w:bCs/>
          <w:sz w:val="32"/>
          <w:szCs w:val="32"/>
          <w:lang w:eastAsia="zh-CN"/>
        </w:rPr>
        <w:t>的</w:t>
      </w:r>
      <w:r>
        <w:rPr>
          <w:rFonts w:hint="eastAsia" w:ascii="Times New Roman" w:hAnsi="Times New Roman" w:eastAsia="方正仿宋简体" w:cs="方正仿宋简体"/>
          <w:b/>
          <w:bCs/>
          <w:sz w:val="32"/>
          <w:szCs w:val="32"/>
        </w:rPr>
        <w:t>原则，</w:t>
      </w:r>
      <w:r>
        <w:rPr>
          <w:rFonts w:hint="eastAsia" w:ascii="Times New Roman" w:hAnsi="Times New Roman" w:eastAsia="方正仿宋简体" w:cs="方正仿宋简体"/>
          <w:b/>
          <w:bCs/>
          <w:sz w:val="32"/>
          <w:szCs w:val="32"/>
          <w:lang w:val="en-US" w:eastAsia="zh-CN"/>
        </w:rPr>
        <w:t>一是政策起草阶段第一时间准备解读材料，确保政策文件与解读材料同步报送、同步审签；二是政策发布后第一时间召开发布会，全面深入介绍政策背景、推进举措、实施细则等群众关心关注的问题，让广大群众及时了解政策动向；三是发布会后第一时间做好线上报道和深度解读，通过电视、广播、报纸、新媒体等平台，运用长图、展板、H5、短视频等形式，进行二次传播，形成媒体报道矩阵，持续提升政策公开力度。</w:t>
      </w:r>
    </w:p>
    <w:p w14:paraId="64245E41">
      <w:pPr>
        <w:keepNext w:val="0"/>
        <w:keepLines w:val="0"/>
        <w:pageBreakBefore w:val="0"/>
        <w:widowControl w:val="0"/>
        <w:numPr>
          <w:ilvl w:val="0"/>
          <w:numId w:val="4"/>
        </w:numPr>
        <w:kinsoku/>
        <w:wordWrap/>
        <w:overflowPunct/>
        <w:topLinePunct w:val="0"/>
        <w:autoSpaceDE/>
        <w:autoSpaceDN/>
        <w:bidi w:val="0"/>
        <w:adjustRightInd/>
        <w:snapToGrid/>
        <w:ind w:firstLine="624" w:firstLineChars="200"/>
        <w:jc w:val="both"/>
        <w:textAlignment w:val="auto"/>
        <w:rPr>
          <w:rFonts w:hint="eastAsia" w:ascii="Times New Roman" w:hAnsi="Times New Roman"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打通“市级+部门+一线”三级联动新闻发布矩阵。市级层面，市级领导陆续走上发布台，成为市委、市政府新闻发言人，与广大市民群众面对面谈经济、说文化、讲民生。部门层面，建立部门单位和镇街新闻发言人队伍，从营商环境到助企攀登，从民生改善到就业招生，聚焦群众“衣食住行”，及时、准确、权威发声。一线层面，新闻发言人面孔不断丰富，从支部书记到企业负责人，从教师到医生，从种粮大户到乡村振兴带头人，现场分享说看法、谈历程，邀市民出镜让群众发声，通过身边人说身边事，大大提升新闻发布吸引力和政策传播力。</w:t>
      </w:r>
    </w:p>
    <w:p w14:paraId="5703CB87">
      <w:pPr>
        <w:keepNext w:val="0"/>
        <w:keepLines w:val="0"/>
        <w:pageBreakBefore w:val="0"/>
        <w:widowControl w:val="0"/>
        <w:numPr>
          <w:ilvl w:val="0"/>
          <w:numId w:val="4"/>
        </w:numPr>
        <w:kinsoku/>
        <w:wordWrap/>
        <w:overflowPunct/>
        <w:topLinePunct w:val="0"/>
        <w:autoSpaceDE/>
        <w:autoSpaceDN/>
        <w:bidi w:val="0"/>
        <w:adjustRightInd/>
        <w:snapToGrid/>
        <w:ind w:firstLine="624" w:firstLineChars="200"/>
        <w:jc w:val="both"/>
        <w:textAlignment w:val="auto"/>
        <w:rPr>
          <w:rFonts w:hint="eastAsia" w:ascii="Times New Roman" w:hAnsi="Times New Roman"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创新“新闻+短视频+直播”三维立体为民服务矩阵。今年以来，《曲阜新闻联播》相继推出“聚焦两会”“先模风采”“攻坚制造强市”“主播说曲阜”等十几个专题专栏，通过“曲阜融媒”抖音号和“曲阜融媒”视频号同步发布，累计编发各类新闻近千条，其中短视频400余条；《为民服务》节目共直播30余期，现场答复群众热线咨询问题400余条，线下解决群众各类民生问题80多个。联合人社局举办“人才夜市”大型招聘会，通过“曲阜融媒”官方抖音号进行同步网络直播，引领广大网友线上“淘岗”，直播累计观看人数1.8万人，为企业招工和人才就业拓宽渠道。</w:t>
      </w:r>
    </w:p>
    <w:p w14:paraId="2184F74B">
      <w:pPr>
        <w:keepNext w:val="0"/>
        <w:keepLines w:val="0"/>
        <w:pageBreakBefore w:val="0"/>
        <w:numPr>
          <w:ilvl w:val="0"/>
          <w:numId w:val="3"/>
        </w:numPr>
        <w:kinsoku/>
        <w:overflowPunct/>
        <w:topLinePunct w:val="0"/>
        <w:autoSpaceDE/>
        <w:autoSpaceDN/>
        <w:bidi w:val="0"/>
        <w:adjustRightInd/>
        <w:snapToGrid/>
        <w:spacing w:line="580" w:lineRule="exact"/>
        <w:ind w:left="0" w:leftChars="0" w:right="-96" w:rightChars="-50" w:firstLine="624" w:firstLineChars="200"/>
        <w:textAlignment w:val="auto"/>
        <w:rPr>
          <w:rFonts w:hint="eastAsia" w:ascii="Times New Roman" w:hAnsi="Times New Roman" w:eastAsia="方正楷体简体"/>
          <w:b/>
          <w:color w:val="000000" w:themeColor="text1"/>
          <w:sz w:val="32"/>
          <w:szCs w:val="32"/>
          <w:lang w:val="en-US" w:eastAsia="zh-CN"/>
          <w14:textFill>
            <w14:solidFill>
              <w14:schemeClr w14:val="tx1"/>
            </w14:solidFill>
          </w14:textFill>
        </w:rPr>
      </w:pPr>
      <w:r>
        <w:rPr>
          <w:rFonts w:hint="default" w:ascii="Times New Roman" w:hAnsi="Times New Roman" w:eastAsia="方正楷体简体"/>
          <w:b/>
          <w:color w:val="000000" w:themeColor="text1"/>
          <w:sz w:val="32"/>
          <w:szCs w:val="32"/>
          <w:lang w:val="en-US" w:eastAsia="zh-CN"/>
          <w14:textFill>
            <w14:solidFill>
              <w14:schemeClr w14:val="tx1"/>
            </w14:solidFill>
          </w14:textFill>
        </w:rPr>
        <w:t>需要报告的其他事项</w:t>
      </w:r>
    </w:p>
    <w:p w14:paraId="56D65348">
      <w:pPr>
        <w:pStyle w:val="6"/>
        <w:keepNext w:val="0"/>
        <w:keepLines w:val="0"/>
        <w:pageBreakBefore w:val="0"/>
        <w:kinsoku/>
        <w:wordWrap w:val="0"/>
        <w:overflowPunct/>
        <w:topLinePunct w:val="0"/>
        <w:autoSpaceDE/>
        <w:autoSpaceDN/>
        <w:bidi w:val="0"/>
        <w:adjustRightInd/>
        <w:snapToGrid/>
        <w:spacing w:line="580" w:lineRule="exact"/>
        <w:ind w:firstLine="624" w:firstLineChars="200"/>
        <w:textAlignment w:val="auto"/>
        <w:rPr>
          <w:rFonts w:hint="default" w:ascii="Times New Roman" w:hAnsi="Times New Roman"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无</w:t>
      </w:r>
    </w:p>
    <w:p w14:paraId="2B8366A2">
      <w:pPr>
        <w:keepNext w:val="0"/>
        <w:keepLines w:val="0"/>
        <w:pageBreakBefore w:val="0"/>
        <w:numPr>
          <w:ilvl w:val="0"/>
          <w:numId w:val="3"/>
        </w:numPr>
        <w:kinsoku/>
        <w:overflowPunct/>
        <w:topLinePunct w:val="0"/>
        <w:autoSpaceDE/>
        <w:autoSpaceDN/>
        <w:bidi w:val="0"/>
        <w:adjustRightInd/>
        <w:snapToGrid/>
        <w:spacing w:line="580" w:lineRule="exact"/>
        <w:ind w:left="0" w:leftChars="0" w:right="-96" w:rightChars="-50" w:firstLine="624" w:firstLineChars="200"/>
        <w:textAlignment w:val="auto"/>
        <w:rPr>
          <w:rFonts w:hint="eastAsia" w:ascii="Times New Roman" w:hAnsi="Times New Roman" w:eastAsia="方正楷体简体"/>
          <w:b/>
          <w:color w:val="000000" w:themeColor="text1"/>
          <w:sz w:val="32"/>
          <w:szCs w:val="32"/>
          <w:lang w:val="en-US" w:eastAsia="zh-CN"/>
          <w14:textFill>
            <w14:solidFill>
              <w14:schemeClr w14:val="tx1"/>
            </w14:solidFill>
          </w14:textFill>
        </w:rPr>
      </w:pPr>
      <w:r>
        <w:rPr>
          <w:rFonts w:hint="default" w:ascii="Times New Roman" w:hAnsi="Times New Roman" w:eastAsia="方正楷体简体"/>
          <w:b/>
          <w:color w:val="000000" w:themeColor="text1"/>
          <w:sz w:val="32"/>
          <w:szCs w:val="32"/>
          <w:lang w:val="en-US" w:eastAsia="zh-CN"/>
          <w14:textFill>
            <w14:solidFill>
              <w14:schemeClr w14:val="tx1"/>
            </w14:solidFill>
          </w14:textFill>
        </w:rPr>
        <w:t>其他有关文件专门要求通过政府信息公开工作年度报告予以报告的事项</w:t>
      </w:r>
    </w:p>
    <w:p w14:paraId="43B6F89E">
      <w:pPr>
        <w:pStyle w:val="6"/>
        <w:keepNext w:val="0"/>
        <w:keepLines w:val="0"/>
        <w:pageBreakBefore w:val="0"/>
        <w:kinsoku/>
        <w:wordWrap w:val="0"/>
        <w:overflowPunct/>
        <w:topLinePunct w:val="0"/>
        <w:autoSpaceDE/>
        <w:autoSpaceDN/>
        <w:bidi w:val="0"/>
        <w:adjustRightInd/>
        <w:snapToGrid/>
        <w:spacing w:line="580" w:lineRule="exact"/>
        <w:ind w:firstLine="624" w:firstLineChars="200"/>
        <w:textAlignment w:val="auto"/>
        <w:rPr>
          <w:rFonts w:hint="default" w:ascii="Times New Roman" w:hAnsi="Times New Roman"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无</w:t>
      </w:r>
    </w:p>
    <w:bookmarkEnd w:id="10"/>
    <w:p w14:paraId="5721A347">
      <w:pPr>
        <w:keepNext w:val="0"/>
        <w:keepLines w:val="0"/>
        <w:pageBreakBefore w:val="0"/>
        <w:kinsoku/>
        <w:overflowPunct/>
        <w:topLinePunct w:val="0"/>
        <w:autoSpaceDE/>
        <w:autoSpaceDN/>
        <w:bidi w:val="0"/>
        <w:adjustRightInd/>
        <w:snapToGrid/>
        <w:spacing w:line="580" w:lineRule="exact"/>
        <w:ind w:right="-96" w:rightChars="-50"/>
        <w:textAlignment w:val="auto"/>
        <w:rPr>
          <w:rFonts w:ascii="Times New Roman" w:hAnsi="Times New Roman"/>
        </w:rPr>
      </w:pPr>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497B87-520A-40F5-9262-DD3F481D05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B9AFA13-8EED-4A3E-9BD9-78A1807BFD4F}"/>
  </w:font>
  <w:font w:name="仿宋_GB2312">
    <w:panose1 w:val="02010609030101010101"/>
    <w:charset w:val="86"/>
    <w:family w:val="decorative"/>
    <w:pitch w:val="default"/>
    <w:sig w:usb0="00000001" w:usb1="080E0000" w:usb2="00000000" w:usb3="00000000" w:csb0="00040000" w:csb1="00000000"/>
    <w:embedRegular r:id="rId3" w:fontKey="{1DB28412-72C8-4520-BB51-7CAF54103040}"/>
  </w:font>
  <w:font w:name="方正小标宋简体">
    <w:panose1 w:val="02000000000000000000"/>
    <w:charset w:val="86"/>
    <w:family w:val="auto"/>
    <w:pitch w:val="default"/>
    <w:sig w:usb0="00000001" w:usb1="08000000" w:usb2="00000000" w:usb3="00000000" w:csb0="00040000" w:csb1="00000000"/>
    <w:embedRegular r:id="rId4" w:fontKey="{3C8F0ADD-76F3-403D-8B51-C4E8D60A3FE1}"/>
  </w:font>
  <w:font w:name="方正仿宋简体">
    <w:panose1 w:val="02000000000000000000"/>
    <w:charset w:val="86"/>
    <w:family w:val="auto"/>
    <w:pitch w:val="default"/>
    <w:sig w:usb0="A00002BF" w:usb1="184F6CFA" w:usb2="00000012" w:usb3="00000000" w:csb0="00040001" w:csb1="00000000"/>
    <w:embedRegular r:id="rId5" w:fontKey="{476A057D-4A62-4EF8-9A7D-0428DFF63EA8}"/>
  </w:font>
  <w:font w:name="方正黑体简体">
    <w:panose1 w:val="02000000000000000000"/>
    <w:charset w:val="86"/>
    <w:family w:val="auto"/>
    <w:pitch w:val="default"/>
    <w:sig w:usb0="A00002BF" w:usb1="184F6CFA" w:usb2="00000012" w:usb3="00000000" w:csb0="00040001" w:csb1="00000000"/>
    <w:embedRegular r:id="rId6" w:fontKey="{096C9580-BE1C-4E12-9987-8B5354209564}"/>
  </w:font>
  <w:font w:name="方正楷体简体">
    <w:panose1 w:val="02000000000000000000"/>
    <w:charset w:val="86"/>
    <w:family w:val="auto"/>
    <w:pitch w:val="default"/>
    <w:sig w:usb0="A00002BF" w:usb1="184F6CFA" w:usb2="00000012" w:usb3="00000000" w:csb0="00040001" w:csb1="00000000"/>
    <w:embedRegular r:id="rId7" w:fontKey="{23157D5B-F8ED-4E90-91F5-6D441CE601B2}"/>
  </w:font>
  <w:font w:name="楷体_GB2312">
    <w:panose1 w:val="02010609030101010101"/>
    <w:charset w:val="86"/>
    <w:family w:val="decorative"/>
    <w:pitch w:val="default"/>
    <w:sig w:usb0="00000001" w:usb1="080E0000" w:usb2="00000000" w:usb3="00000000" w:csb0="00040000" w:csb1="00000000"/>
    <w:embedRegular r:id="rId8" w:fontKey="{EFB8FB11-5E5A-4618-ABC2-6066FCB454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14:paraId="5975ABBC">
        <w:pPr>
          <w:pStyle w:val="4"/>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21 -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B5F119"/>
    <w:multiLevelType w:val="singleLevel"/>
    <w:tmpl w:val="ECB5F119"/>
    <w:lvl w:ilvl="0" w:tentative="0">
      <w:start w:val="2"/>
      <w:numFmt w:val="chineseCounting"/>
      <w:suff w:val="nothing"/>
      <w:lvlText w:val="%1、"/>
      <w:lvlJc w:val="left"/>
      <w:rPr>
        <w:rFonts w:hint="eastAsia"/>
      </w:rPr>
    </w:lvl>
  </w:abstractNum>
  <w:abstractNum w:abstractNumId="1">
    <w:nsid w:val="F182EA84"/>
    <w:multiLevelType w:val="singleLevel"/>
    <w:tmpl w:val="F182EA84"/>
    <w:lvl w:ilvl="0" w:tentative="0">
      <w:start w:val="2"/>
      <w:numFmt w:val="chineseCounting"/>
      <w:suff w:val="nothing"/>
      <w:lvlText w:val="（%1）"/>
      <w:lvlJc w:val="left"/>
      <w:rPr>
        <w:rFonts w:hint="eastAsia"/>
      </w:rPr>
    </w:lvl>
  </w:abstractNum>
  <w:abstractNum w:abstractNumId="2">
    <w:nsid w:val="FFDE8B8D"/>
    <w:multiLevelType w:val="singleLevel"/>
    <w:tmpl w:val="FFDE8B8D"/>
    <w:lvl w:ilvl="0" w:tentative="0">
      <w:start w:val="3"/>
      <w:numFmt w:val="chineseCounting"/>
      <w:suff w:val="nothing"/>
      <w:lvlText w:val="（%1）"/>
      <w:lvlJc w:val="left"/>
      <w:rPr>
        <w:rFonts w:hint="eastAsia" w:ascii="方正楷体简体" w:hAnsi="方正楷体简体" w:eastAsia="方正楷体简体" w:cs="方正楷体简体"/>
      </w:rPr>
    </w:lvl>
  </w:abstractNum>
  <w:abstractNum w:abstractNumId="3">
    <w:nsid w:val="0C403768"/>
    <w:multiLevelType w:val="singleLevel"/>
    <w:tmpl w:val="0C403768"/>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zIyYzg3MTYzZTFlY2VkNzY3YWNlMDIwMDVkNjgifQ=="/>
  </w:docVars>
  <w:rsids>
    <w:rsidRoot w:val="00000000"/>
    <w:rsid w:val="00072C34"/>
    <w:rsid w:val="001F1D2C"/>
    <w:rsid w:val="00305CE7"/>
    <w:rsid w:val="003B6581"/>
    <w:rsid w:val="0087167F"/>
    <w:rsid w:val="00991ADF"/>
    <w:rsid w:val="00D91EDB"/>
    <w:rsid w:val="00ED732E"/>
    <w:rsid w:val="010B405F"/>
    <w:rsid w:val="011E1FE4"/>
    <w:rsid w:val="0123584C"/>
    <w:rsid w:val="017716F4"/>
    <w:rsid w:val="018C519F"/>
    <w:rsid w:val="018F6A3E"/>
    <w:rsid w:val="019B1886"/>
    <w:rsid w:val="01AC5842"/>
    <w:rsid w:val="01DB1C83"/>
    <w:rsid w:val="01E70628"/>
    <w:rsid w:val="01F66ABD"/>
    <w:rsid w:val="021F6013"/>
    <w:rsid w:val="023B2668"/>
    <w:rsid w:val="0247556A"/>
    <w:rsid w:val="025C7268"/>
    <w:rsid w:val="02691984"/>
    <w:rsid w:val="026C6D7F"/>
    <w:rsid w:val="028B18FB"/>
    <w:rsid w:val="029F7154"/>
    <w:rsid w:val="02DA63DE"/>
    <w:rsid w:val="02F94AB6"/>
    <w:rsid w:val="02FE031F"/>
    <w:rsid w:val="030D2310"/>
    <w:rsid w:val="03195159"/>
    <w:rsid w:val="034D6BB0"/>
    <w:rsid w:val="036F6B27"/>
    <w:rsid w:val="037C1244"/>
    <w:rsid w:val="038A3960"/>
    <w:rsid w:val="03A013D6"/>
    <w:rsid w:val="03AF3A6F"/>
    <w:rsid w:val="03AF786B"/>
    <w:rsid w:val="03D33559"/>
    <w:rsid w:val="03F62DA4"/>
    <w:rsid w:val="03F84D6E"/>
    <w:rsid w:val="04043713"/>
    <w:rsid w:val="04335DA6"/>
    <w:rsid w:val="046248DD"/>
    <w:rsid w:val="049820AD"/>
    <w:rsid w:val="049B394B"/>
    <w:rsid w:val="04AE18D1"/>
    <w:rsid w:val="04C410F4"/>
    <w:rsid w:val="04C82992"/>
    <w:rsid w:val="05164F23"/>
    <w:rsid w:val="0523406D"/>
    <w:rsid w:val="053973EC"/>
    <w:rsid w:val="05465FAD"/>
    <w:rsid w:val="054A15F9"/>
    <w:rsid w:val="05834B0B"/>
    <w:rsid w:val="058D7738"/>
    <w:rsid w:val="05A351AD"/>
    <w:rsid w:val="05B45A60"/>
    <w:rsid w:val="05C869C2"/>
    <w:rsid w:val="05DF2707"/>
    <w:rsid w:val="05E03D0C"/>
    <w:rsid w:val="05ED6429"/>
    <w:rsid w:val="06053772"/>
    <w:rsid w:val="06287461"/>
    <w:rsid w:val="062C6F51"/>
    <w:rsid w:val="063C6921"/>
    <w:rsid w:val="065546FA"/>
    <w:rsid w:val="066606B5"/>
    <w:rsid w:val="068E3768"/>
    <w:rsid w:val="06A44D39"/>
    <w:rsid w:val="06B331CE"/>
    <w:rsid w:val="06BD229F"/>
    <w:rsid w:val="06BD5DFB"/>
    <w:rsid w:val="06D118A6"/>
    <w:rsid w:val="06DA4BFF"/>
    <w:rsid w:val="072A7934"/>
    <w:rsid w:val="072D4D2F"/>
    <w:rsid w:val="07391925"/>
    <w:rsid w:val="074F0896"/>
    <w:rsid w:val="075F5104"/>
    <w:rsid w:val="077C5CB6"/>
    <w:rsid w:val="077F1302"/>
    <w:rsid w:val="07BE62CF"/>
    <w:rsid w:val="07F6CEC7"/>
    <w:rsid w:val="08053EFD"/>
    <w:rsid w:val="080A5070"/>
    <w:rsid w:val="0817778D"/>
    <w:rsid w:val="08601134"/>
    <w:rsid w:val="086213CA"/>
    <w:rsid w:val="086F663E"/>
    <w:rsid w:val="08A70B11"/>
    <w:rsid w:val="08A90D2D"/>
    <w:rsid w:val="08B17BE1"/>
    <w:rsid w:val="08E12275"/>
    <w:rsid w:val="08F14771"/>
    <w:rsid w:val="08FD4BD5"/>
    <w:rsid w:val="091A5787"/>
    <w:rsid w:val="09420839"/>
    <w:rsid w:val="09442803"/>
    <w:rsid w:val="0958005D"/>
    <w:rsid w:val="095E6CA5"/>
    <w:rsid w:val="097C3316"/>
    <w:rsid w:val="0983157E"/>
    <w:rsid w:val="099948FD"/>
    <w:rsid w:val="09A6701A"/>
    <w:rsid w:val="09CB04E3"/>
    <w:rsid w:val="09E51014"/>
    <w:rsid w:val="09E638BB"/>
    <w:rsid w:val="0A283ED3"/>
    <w:rsid w:val="0AAE6186"/>
    <w:rsid w:val="0ABB4D47"/>
    <w:rsid w:val="0AE4604C"/>
    <w:rsid w:val="0AEC3153"/>
    <w:rsid w:val="0B6CC396"/>
    <w:rsid w:val="0B8E420A"/>
    <w:rsid w:val="0BA55F1B"/>
    <w:rsid w:val="0BC1013B"/>
    <w:rsid w:val="0BCF0AAA"/>
    <w:rsid w:val="0BE0021A"/>
    <w:rsid w:val="0BE502CE"/>
    <w:rsid w:val="0BEB4157"/>
    <w:rsid w:val="0C0A3890"/>
    <w:rsid w:val="0C160487"/>
    <w:rsid w:val="0C346B5F"/>
    <w:rsid w:val="0C590374"/>
    <w:rsid w:val="0C833643"/>
    <w:rsid w:val="0C8E44C1"/>
    <w:rsid w:val="0D020A0B"/>
    <w:rsid w:val="0D091D9A"/>
    <w:rsid w:val="0D1B387B"/>
    <w:rsid w:val="0D1D5845"/>
    <w:rsid w:val="0DA33F9D"/>
    <w:rsid w:val="0DA90E87"/>
    <w:rsid w:val="0DB77A48"/>
    <w:rsid w:val="0DBE0DD6"/>
    <w:rsid w:val="0DD1367D"/>
    <w:rsid w:val="0DD57ECE"/>
    <w:rsid w:val="0DDE4FD5"/>
    <w:rsid w:val="0DE40111"/>
    <w:rsid w:val="0DF93BBD"/>
    <w:rsid w:val="0E041741"/>
    <w:rsid w:val="0E0F1FAC"/>
    <w:rsid w:val="0E3270CE"/>
    <w:rsid w:val="0E4445BF"/>
    <w:rsid w:val="0E664FCA"/>
    <w:rsid w:val="0E980DFD"/>
    <w:rsid w:val="0EE20AF5"/>
    <w:rsid w:val="0F403A6D"/>
    <w:rsid w:val="0F45561E"/>
    <w:rsid w:val="0F895414"/>
    <w:rsid w:val="0FC621C4"/>
    <w:rsid w:val="0FCC2EE0"/>
    <w:rsid w:val="0FD3043D"/>
    <w:rsid w:val="0FD541B5"/>
    <w:rsid w:val="0FE268D2"/>
    <w:rsid w:val="0FF59246"/>
    <w:rsid w:val="1008458B"/>
    <w:rsid w:val="10AC13BA"/>
    <w:rsid w:val="10B14C22"/>
    <w:rsid w:val="10C34956"/>
    <w:rsid w:val="10DB67FC"/>
    <w:rsid w:val="10F93ED3"/>
    <w:rsid w:val="111D5D9B"/>
    <w:rsid w:val="11393FD7"/>
    <w:rsid w:val="113D64B6"/>
    <w:rsid w:val="114A472F"/>
    <w:rsid w:val="11785740"/>
    <w:rsid w:val="11A16A45"/>
    <w:rsid w:val="11B524F0"/>
    <w:rsid w:val="11C646FD"/>
    <w:rsid w:val="11C73FD2"/>
    <w:rsid w:val="11D74D27"/>
    <w:rsid w:val="11FC1ECD"/>
    <w:rsid w:val="120E39AF"/>
    <w:rsid w:val="122431D2"/>
    <w:rsid w:val="124F46F3"/>
    <w:rsid w:val="127557DC"/>
    <w:rsid w:val="12977E48"/>
    <w:rsid w:val="12A32349"/>
    <w:rsid w:val="12BE3627"/>
    <w:rsid w:val="12CD1ABC"/>
    <w:rsid w:val="13201BEB"/>
    <w:rsid w:val="132C233E"/>
    <w:rsid w:val="1340228E"/>
    <w:rsid w:val="135A334F"/>
    <w:rsid w:val="136917E4"/>
    <w:rsid w:val="13A97E33"/>
    <w:rsid w:val="13C609E5"/>
    <w:rsid w:val="13E56991"/>
    <w:rsid w:val="13FD3CDB"/>
    <w:rsid w:val="14011A1D"/>
    <w:rsid w:val="14067033"/>
    <w:rsid w:val="14261483"/>
    <w:rsid w:val="14305E5E"/>
    <w:rsid w:val="14327E28"/>
    <w:rsid w:val="1433594E"/>
    <w:rsid w:val="143771ED"/>
    <w:rsid w:val="145116DA"/>
    <w:rsid w:val="146D0E60"/>
    <w:rsid w:val="146D70B2"/>
    <w:rsid w:val="147F2942"/>
    <w:rsid w:val="14942891"/>
    <w:rsid w:val="14A8321B"/>
    <w:rsid w:val="14A92E83"/>
    <w:rsid w:val="14AE3227"/>
    <w:rsid w:val="14EA24B1"/>
    <w:rsid w:val="14F467E4"/>
    <w:rsid w:val="15115C90"/>
    <w:rsid w:val="15323E58"/>
    <w:rsid w:val="155142DE"/>
    <w:rsid w:val="155C2C83"/>
    <w:rsid w:val="157B135B"/>
    <w:rsid w:val="157D50D3"/>
    <w:rsid w:val="15CD24F4"/>
    <w:rsid w:val="16027CCE"/>
    <w:rsid w:val="160475A2"/>
    <w:rsid w:val="161D3FCA"/>
    <w:rsid w:val="166C5148"/>
    <w:rsid w:val="16702E8A"/>
    <w:rsid w:val="16907088"/>
    <w:rsid w:val="169326D4"/>
    <w:rsid w:val="16A668AC"/>
    <w:rsid w:val="16BC60CF"/>
    <w:rsid w:val="16C15493"/>
    <w:rsid w:val="16D57191"/>
    <w:rsid w:val="16E75D6C"/>
    <w:rsid w:val="16FFA482"/>
    <w:rsid w:val="1747322C"/>
    <w:rsid w:val="17683B61"/>
    <w:rsid w:val="17773DA4"/>
    <w:rsid w:val="178F7340"/>
    <w:rsid w:val="17944956"/>
    <w:rsid w:val="17B60D70"/>
    <w:rsid w:val="17BB6387"/>
    <w:rsid w:val="17CD1C16"/>
    <w:rsid w:val="17EF7DDE"/>
    <w:rsid w:val="17FAE95E"/>
    <w:rsid w:val="17FF624C"/>
    <w:rsid w:val="18153CE9"/>
    <w:rsid w:val="1881312C"/>
    <w:rsid w:val="189F35B2"/>
    <w:rsid w:val="18B21538"/>
    <w:rsid w:val="19241D0A"/>
    <w:rsid w:val="193C52A5"/>
    <w:rsid w:val="196547FC"/>
    <w:rsid w:val="196A1E12"/>
    <w:rsid w:val="1A044015"/>
    <w:rsid w:val="1A0933D9"/>
    <w:rsid w:val="1A4E5290"/>
    <w:rsid w:val="1A5B175B"/>
    <w:rsid w:val="1A644AB4"/>
    <w:rsid w:val="1A9C424D"/>
    <w:rsid w:val="1AD75285"/>
    <w:rsid w:val="1AEF2A0E"/>
    <w:rsid w:val="1AF20311"/>
    <w:rsid w:val="1AFFCAE3"/>
    <w:rsid w:val="1B2D1349"/>
    <w:rsid w:val="1B3A75C2"/>
    <w:rsid w:val="1B4B5789"/>
    <w:rsid w:val="1B860A5A"/>
    <w:rsid w:val="1B8A054A"/>
    <w:rsid w:val="1B943177"/>
    <w:rsid w:val="1BC25F36"/>
    <w:rsid w:val="1BC9604B"/>
    <w:rsid w:val="1BED0AD9"/>
    <w:rsid w:val="1BFDC1E1"/>
    <w:rsid w:val="1C47468D"/>
    <w:rsid w:val="1C5823F6"/>
    <w:rsid w:val="1C6568C1"/>
    <w:rsid w:val="1C6E7E6B"/>
    <w:rsid w:val="1C784846"/>
    <w:rsid w:val="1C7B4336"/>
    <w:rsid w:val="1CAE0268"/>
    <w:rsid w:val="1CDD6D9F"/>
    <w:rsid w:val="1CEE68B6"/>
    <w:rsid w:val="1CFD4D4B"/>
    <w:rsid w:val="1D167BBB"/>
    <w:rsid w:val="1D2F75FB"/>
    <w:rsid w:val="1D456632"/>
    <w:rsid w:val="1D7201F6"/>
    <w:rsid w:val="1D8D2573"/>
    <w:rsid w:val="1D8D60CF"/>
    <w:rsid w:val="1DC51D0D"/>
    <w:rsid w:val="1DC53ABB"/>
    <w:rsid w:val="1DF601E6"/>
    <w:rsid w:val="1E012619"/>
    <w:rsid w:val="1E42335E"/>
    <w:rsid w:val="1E432C32"/>
    <w:rsid w:val="1E480248"/>
    <w:rsid w:val="1E5F37F2"/>
    <w:rsid w:val="1E7F4B95"/>
    <w:rsid w:val="1E817EBC"/>
    <w:rsid w:val="1EA57449"/>
    <w:rsid w:val="1EC04824"/>
    <w:rsid w:val="1ECC70CB"/>
    <w:rsid w:val="1ECF44C6"/>
    <w:rsid w:val="1EDF7BA2"/>
    <w:rsid w:val="1EE7180F"/>
    <w:rsid w:val="1EF34EA9"/>
    <w:rsid w:val="1F42113B"/>
    <w:rsid w:val="1F444EB4"/>
    <w:rsid w:val="1F525822"/>
    <w:rsid w:val="1F7F413E"/>
    <w:rsid w:val="1FA3607E"/>
    <w:rsid w:val="1FD91AA0"/>
    <w:rsid w:val="1FEA15B7"/>
    <w:rsid w:val="1FEAD362"/>
    <w:rsid w:val="1FEC17D3"/>
    <w:rsid w:val="1FF16DE9"/>
    <w:rsid w:val="20325BCB"/>
    <w:rsid w:val="20337402"/>
    <w:rsid w:val="204F58BE"/>
    <w:rsid w:val="20A21E92"/>
    <w:rsid w:val="20B232BE"/>
    <w:rsid w:val="2127683B"/>
    <w:rsid w:val="212D20A3"/>
    <w:rsid w:val="21377D37"/>
    <w:rsid w:val="214D2309"/>
    <w:rsid w:val="216E6218"/>
    <w:rsid w:val="217575A6"/>
    <w:rsid w:val="219914E7"/>
    <w:rsid w:val="21B95DA6"/>
    <w:rsid w:val="21C4408A"/>
    <w:rsid w:val="21DA565B"/>
    <w:rsid w:val="21F7445F"/>
    <w:rsid w:val="22196184"/>
    <w:rsid w:val="222C235B"/>
    <w:rsid w:val="22372AAE"/>
    <w:rsid w:val="22426FD3"/>
    <w:rsid w:val="226A69DF"/>
    <w:rsid w:val="226C09A9"/>
    <w:rsid w:val="228F28EA"/>
    <w:rsid w:val="22965A26"/>
    <w:rsid w:val="22D14CB0"/>
    <w:rsid w:val="230706D2"/>
    <w:rsid w:val="23151041"/>
    <w:rsid w:val="23243032"/>
    <w:rsid w:val="23270D74"/>
    <w:rsid w:val="23452FA8"/>
    <w:rsid w:val="2351194D"/>
    <w:rsid w:val="235F406A"/>
    <w:rsid w:val="238E2BA1"/>
    <w:rsid w:val="239472CB"/>
    <w:rsid w:val="23D305B4"/>
    <w:rsid w:val="23FA1FE5"/>
    <w:rsid w:val="24241890"/>
    <w:rsid w:val="24CC572F"/>
    <w:rsid w:val="24E707BB"/>
    <w:rsid w:val="24E862E1"/>
    <w:rsid w:val="24F133E8"/>
    <w:rsid w:val="24F86524"/>
    <w:rsid w:val="251D242F"/>
    <w:rsid w:val="256911D0"/>
    <w:rsid w:val="256A4F48"/>
    <w:rsid w:val="25733DFD"/>
    <w:rsid w:val="2584600A"/>
    <w:rsid w:val="258778A8"/>
    <w:rsid w:val="25950217"/>
    <w:rsid w:val="25D725DE"/>
    <w:rsid w:val="25FD4DBB"/>
    <w:rsid w:val="262223E4"/>
    <w:rsid w:val="26487037"/>
    <w:rsid w:val="2668592C"/>
    <w:rsid w:val="268B33C8"/>
    <w:rsid w:val="269A360B"/>
    <w:rsid w:val="26AC3A6A"/>
    <w:rsid w:val="26C2328E"/>
    <w:rsid w:val="26D22DA5"/>
    <w:rsid w:val="26D46B1D"/>
    <w:rsid w:val="26D92385"/>
    <w:rsid w:val="26E34FB2"/>
    <w:rsid w:val="26F45411"/>
    <w:rsid w:val="272E26D1"/>
    <w:rsid w:val="27315D1D"/>
    <w:rsid w:val="27351CB2"/>
    <w:rsid w:val="27455C6D"/>
    <w:rsid w:val="276205CD"/>
    <w:rsid w:val="27642FFB"/>
    <w:rsid w:val="277125BE"/>
    <w:rsid w:val="277420AE"/>
    <w:rsid w:val="277DABB6"/>
    <w:rsid w:val="27AE0B28"/>
    <w:rsid w:val="27D72D69"/>
    <w:rsid w:val="27FC457D"/>
    <w:rsid w:val="284D4DD9"/>
    <w:rsid w:val="28640A1C"/>
    <w:rsid w:val="286A598B"/>
    <w:rsid w:val="289E73E3"/>
    <w:rsid w:val="28AB1AFF"/>
    <w:rsid w:val="28AC5FA3"/>
    <w:rsid w:val="28BE7A85"/>
    <w:rsid w:val="28C13D7A"/>
    <w:rsid w:val="28CC03F4"/>
    <w:rsid w:val="290B259E"/>
    <w:rsid w:val="290D4568"/>
    <w:rsid w:val="291B4ED7"/>
    <w:rsid w:val="2936586D"/>
    <w:rsid w:val="29387837"/>
    <w:rsid w:val="29502F22"/>
    <w:rsid w:val="296F5223"/>
    <w:rsid w:val="29A547A1"/>
    <w:rsid w:val="29A95068"/>
    <w:rsid w:val="29AE7AF9"/>
    <w:rsid w:val="29BF1D06"/>
    <w:rsid w:val="29D564EC"/>
    <w:rsid w:val="29FF65A7"/>
    <w:rsid w:val="2A44220C"/>
    <w:rsid w:val="2A500BB0"/>
    <w:rsid w:val="2A587A65"/>
    <w:rsid w:val="2A9036A3"/>
    <w:rsid w:val="2AEB2687"/>
    <w:rsid w:val="2B073965"/>
    <w:rsid w:val="2B3B79A0"/>
    <w:rsid w:val="2B42B370"/>
    <w:rsid w:val="2B746B21"/>
    <w:rsid w:val="2B7DB79E"/>
    <w:rsid w:val="2BA54F2C"/>
    <w:rsid w:val="2BD80E5D"/>
    <w:rsid w:val="2BD870AF"/>
    <w:rsid w:val="2BF35C97"/>
    <w:rsid w:val="2C0B1233"/>
    <w:rsid w:val="2C0C4FAB"/>
    <w:rsid w:val="2C1B6F9C"/>
    <w:rsid w:val="2C3047F6"/>
    <w:rsid w:val="2C3A647F"/>
    <w:rsid w:val="2C683709"/>
    <w:rsid w:val="2C974875"/>
    <w:rsid w:val="2CBF3DCB"/>
    <w:rsid w:val="2CC80ED2"/>
    <w:rsid w:val="2CDC672B"/>
    <w:rsid w:val="2D0637A8"/>
    <w:rsid w:val="2D0D0FDB"/>
    <w:rsid w:val="2D320A41"/>
    <w:rsid w:val="2D360531"/>
    <w:rsid w:val="2D391DD0"/>
    <w:rsid w:val="2D460049"/>
    <w:rsid w:val="2D7E3C87"/>
    <w:rsid w:val="2D8079FF"/>
    <w:rsid w:val="2D9D410D"/>
    <w:rsid w:val="2DAA4A7C"/>
    <w:rsid w:val="2DC23B73"/>
    <w:rsid w:val="2DEC299E"/>
    <w:rsid w:val="2DFD104F"/>
    <w:rsid w:val="2E112405"/>
    <w:rsid w:val="2E352597"/>
    <w:rsid w:val="2E3C1B78"/>
    <w:rsid w:val="2E431036"/>
    <w:rsid w:val="2E4B3B69"/>
    <w:rsid w:val="2E5F7FC7"/>
    <w:rsid w:val="2E6E7857"/>
    <w:rsid w:val="2E9574DA"/>
    <w:rsid w:val="2E9851F3"/>
    <w:rsid w:val="2EAB2859"/>
    <w:rsid w:val="2EBF6305"/>
    <w:rsid w:val="2F126434"/>
    <w:rsid w:val="2F1F43E6"/>
    <w:rsid w:val="2F396D1F"/>
    <w:rsid w:val="2F57653D"/>
    <w:rsid w:val="2FA07EE4"/>
    <w:rsid w:val="2FA23C5C"/>
    <w:rsid w:val="2FBDEC66"/>
    <w:rsid w:val="2FDF39CE"/>
    <w:rsid w:val="2FEFB4B4"/>
    <w:rsid w:val="2FF57248"/>
    <w:rsid w:val="301B428D"/>
    <w:rsid w:val="30243BFD"/>
    <w:rsid w:val="304B42F4"/>
    <w:rsid w:val="30562C99"/>
    <w:rsid w:val="308C0468"/>
    <w:rsid w:val="30BF083E"/>
    <w:rsid w:val="30E20088"/>
    <w:rsid w:val="30E738F1"/>
    <w:rsid w:val="30E97669"/>
    <w:rsid w:val="31091AB9"/>
    <w:rsid w:val="3132175D"/>
    <w:rsid w:val="316F11D0"/>
    <w:rsid w:val="31736C24"/>
    <w:rsid w:val="31A96482"/>
    <w:rsid w:val="31C679AA"/>
    <w:rsid w:val="31FD7870"/>
    <w:rsid w:val="321A767E"/>
    <w:rsid w:val="327B0795"/>
    <w:rsid w:val="32875DE1"/>
    <w:rsid w:val="32902492"/>
    <w:rsid w:val="329B78D9"/>
    <w:rsid w:val="32A01FA9"/>
    <w:rsid w:val="32FF3174"/>
    <w:rsid w:val="330C763F"/>
    <w:rsid w:val="330E785B"/>
    <w:rsid w:val="332E5807"/>
    <w:rsid w:val="336F53A5"/>
    <w:rsid w:val="337F42B4"/>
    <w:rsid w:val="33A67A93"/>
    <w:rsid w:val="33B45D0C"/>
    <w:rsid w:val="33BDE2E4"/>
    <w:rsid w:val="33D8069D"/>
    <w:rsid w:val="33E32A95"/>
    <w:rsid w:val="34791278"/>
    <w:rsid w:val="34A42225"/>
    <w:rsid w:val="34AC732B"/>
    <w:rsid w:val="34AE4E51"/>
    <w:rsid w:val="34AF4CBE"/>
    <w:rsid w:val="34BB756E"/>
    <w:rsid w:val="34F0546A"/>
    <w:rsid w:val="350E769E"/>
    <w:rsid w:val="351849C1"/>
    <w:rsid w:val="352B0250"/>
    <w:rsid w:val="35327830"/>
    <w:rsid w:val="35334B9C"/>
    <w:rsid w:val="35337105"/>
    <w:rsid w:val="353B4AAA"/>
    <w:rsid w:val="35812566"/>
    <w:rsid w:val="35973B37"/>
    <w:rsid w:val="359E6C74"/>
    <w:rsid w:val="35AF70D3"/>
    <w:rsid w:val="35BB037C"/>
    <w:rsid w:val="35BE10C4"/>
    <w:rsid w:val="35DF718A"/>
    <w:rsid w:val="35F04FF6"/>
    <w:rsid w:val="361909F0"/>
    <w:rsid w:val="364F7F6E"/>
    <w:rsid w:val="3660217B"/>
    <w:rsid w:val="36A54032"/>
    <w:rsid w:val="36CE17DB"/>
    <w:rsid w:val="36EE24F9"/>
    <w:rsid w:val="36EF34FF"/>
    <w:rsid w:val="36F81978"/>
    <w:rsid w:val="36FC39AA"/>
    <w:rsid w:val="371B60A2"/>
    <w:rsid w:val="371B7761"/>
    <w:rsid w:val="374C4D4B"/>
    <w:rsid w:val="37623CD1"/>
    <w:rsid w:val="378325C5"/>
    <w:rsid w:val="37936580"/>
    <w:rsid w:val="37B7226F"/>
    <w:rsid w:val="37D56B99"/>
    <w:rsid w:val="37EE8714"/>
    <w:rsid w:val="385201EA"/>
    <w:rsid w:val="388F4F9A"/>
    <w:rsid w:val="38910D12"/>
    <w:rsid w:val="38BD38B5"/>
    <w:rsid w:val="38C509BB"/>
    <w:rsid w:val="38D14DE7"/>
    <w:rsid w:val="39565AB7"/>
    <w:rsid w:val="39646594"/>
    <w:rsid w:val="396A600E"/>
    <w:rsid w:val="39755F3E"/>
    <w:rsid w:val="39873DD1"/>
    <w:rsid w:val="39AA6DC9"/>
    <w:rsid w:val="39B7380A"/>
    <w:rsid w:val="39D30EB6"/>
    <w:rsid w:val="39DF812C"/>
    <w:rsid w:val="39FD471B"/>
    <w:rsid w:val="3A0B6FE9"/>
    <w:rsid w:val="3A434A29"/>
    <w:rsid w:val="3A451DB4"/>
    <w:rsid w:val="3A60099C"/>
    <w:rsid w:val="3AD969A0"/>
    <w:rsid w:val="3ADD023E"/>
    <w:rsid w:val="3AED5FA8"/>
    <w:rsid w:val="3AF86E26"/>
    <w:rsid w:val="3B084B8F"/>
    <w:rsid w:val="3B1A22B1"/>
    <w:rsid w:val="3B245251"/>
    <w:rsid w:val="3B3360B0"/>
    <w:rsid w:val="3B4200A1"/>
    <w:rsid w:val="3B5129DA"/>
    <w:rsid w:val="3B660234"/>
    <w:rsid w:val="3B693880"/>
    <w:rsid w:val="3B6B584A"/>
    <w:rsid w:val="3B7DC777"/>
    <w:rsid w:val="3B7F9926"/>
    <w:rsid w:val="3B834C6D"/>
    <w:rsid w:val="3BA007C4"/>
    <w:rsid w:val="3BC638D3"/>
    <w:rsid w:val="3BE15B0C"/>
    <w:rsid w:val="3BEB5CA6"/>
    <w:rsid w:val="3BEBFB43"/>
    <w:rsid w:val="3C073099"/>
    <w:rsid w:val="3C3F2833"/>
    <w:rsid w:val="3C613FE9"/>
    <w:rsid w:val="3C683B38"/>
    <w:rsid w:val="3C6B3628"/>
    <w:rsid w:val="3C7E77FF"/>
    <w:rsid w:val="3C8446EA"/>
    <w:rsid w:val="3C850B8E"/>
    <w:rsid w:val="3CB46D7D"/>
    <w:rsid w:val="3CBB45AF"/>
    <w:rsid w:val="3CD43F35"/>
    <w:rsid w:val="3CE77152"/>
    <w:rsid w:val="3D000214"/>
    <w:rsid w:val="3D0D1D50"/>
    <w:rsid w:val="3D3F8881"/>
    <w:rsid w:val="3D6469F5"/>
    <w:rsid w:val="3D7F9AC8"/>
    <w:rsid w:val="3DFF11FB"/>
    <w:rsid w:val="3E1026D9"/>
    <w:rsid w:val="3E104487"/>
    <w:rsid w:val="3E225CA3"/>
    <w:rsid w:val="3E247F32"/>
    <w:rsid w:val="3E2E0DB1"/>
    <w:rsid w:val="3E5F3E8C"/>
    <w:rsid w:val="3E734A16"/>
    <w:rsid w:val="3E7BF17B"/>
    <w:rsid w:val="3E952BDE"/>
    <w:rsid w:val="3EAD617A"/>
    <w:rsid w:val="3EAF1EF2"/>
    <w:rsid w:val="3EBE5BEB"/>
    <w:rsid w:val="3EBF5935"/>
    <w:rsid w:val="3EBF66A5"/>
    <w:rsid w:val="3EDC6A5F"/>
    <w:rsid w:val="3EF6462C"/>
    <w:rsid w:val="3EFBDD54"/>
    <w:rsid w:val="3F03223E"/>
    <w:rsid w:val="3F4563B2"/>
    <w:rsid w:val="3F7F0465"/>
    <w:rsid w:val="3F7F6854"/>
    <w:rsid w:val="3F8073EA"/>
    <w:rsid w:val="3F827606"/>
    <w:rsid w:val="3F854A01"/>
    <w:rsid w:val="3F9F420E"/>
    <w:rsid w:val="3F9FB533"/>
    <w:rsid w:val="3FBD419A"/>
    <w:rsid w:val="3FD84CA1"/>
    <w:rsid w:val="3FDFF45F"/>
    <w:rsid w:val="3FEFE0BE"/>
    <w:rsid w:val="3FF353D2"/>
    <w:rsid w:val="3FF5F217"/>
    <w:rsid w:val="3FF658FE"/>
    <w:rsid w:val="3FF6C6AB"/>
    <w:rsid w:val="3FF71F18"/>
    <w:rsid w:val="3FF7B3AB"/>
    <w:rsid w:val="3FFCC058"/>
    <w:rsid w:val="3FFDD37B"/>
    <w:rsid w:val="3FFEAE9F"/>
    <w:rsid w:val="3FFEBFC9"/>
    <w:rsid w:val="400C6ED0"/>
    <w:rsid w:val="4010076E"/>
    <w:rsid w:val="40145E57"/>
    <w:rsid w:val="40385F17"/>
    <w:rsid w:val="404E573A"/>
    <w:rsid w:val="405526AD"/>
    <w:rsid w:val="408F692C"/>
    <w:rsid w:val="40AA0BC3"/>
    <w:rsid w:val="40AE7F87"/>
    <w:rsid w:val="40B21825"/>
    <w:rsid w:val="40BF3F42"/>
    <w:rsid w:val="40D93256"/>
    <w:rsid w:val="40F956A6"/>
    <w:rsid w:val="410A1661"/>
    <w:rsid w:val="410A340F"/>
    <w:rsid w:val="412D5350"/>
    <w:rsid w:val="41452699"/>
    <w:rsid w:val="41474973"/>
    <w:rsid w:val="41570678"/>
    <w:rsid w:val="417D0085"/>
    <w:rsid w:val="41913B31"/>
    <w:rsid w:val="421107CE"/>
    <w:rsid w:val="42276243"/>
    <w:rsid w:val="425A03C6"/>
    <w:rsid w:val="428216CB"/>
    <w:rsid w:val="42905B96"/>
    <w:rsid w:val="42C65A5C"/>
    <w:rsid w:val="42E3216A"/>
    <w:rsid w:val="42FA5706"/>
    <w:rsid w:val="43014CE6"/>
    <w:rsid w:val="4303280C"/>
    <w:rsid w:val="431E31A2"/>
    <w:rsid w:val="431E7646"/>
    <w:rsid w:val="437159C8"/>
    <w:rsid w:val="437E00E5"/>
    <w:rsid w:val="43827BD5"/>
    <w:rsid w:val="43B029FF"/>
    <w:rsid w:val="43D67F21"/>
    <w:rsid w:val="443B7D84"/>
    <w:rsid w:val="44C47D79"/>
    <w:rsid w:val="44C63AF1"/>
    <w:rsid w:val="44E421C9"/>
    <w:rsid w:val="44F71BE0"/>
    <w:rsid w:val="45124F88"/>
    <w:rsid w:val="452E1696"/>
    <w:rsid w:val="454F7F8B"/>
    <w:rsid w:val="45863281"/>
    <w:rsid w:val="45AD2F03"/>
    <w:rsid w:val="45E16709"/>
    <w:rsid w:val="45E32481"/>
    <w:rsid w:val="45F96148"/>
    <w:rsid w:val="45FEC220"/>
    <w:rsid w:val="45FF9A09"/>
    <w:rsid w:val="463158E2"/>
    <w:rsid w:val="46340F2E"/>
    <w:rsid w:val="46396545"/>
    <w:rsid w:val="465F5FAB"/>
    <w:rsid w:val="46737CA9"/>
    <w:rsid w:val="46935C55"/>
    <w:rsid w:val="46AC4F69"/>
    <w:rsid w:val="46B34549"/>
    <w:rsid w:val="46D70238"/>
    <w:rsid w:val="46FE3D3E"/>
    <w:rsid w:val="47017063"/>
    <w:rsid w:val="4723522B"/>
    <w:rsid w:val="47332F94"/>
    <w:rsid w:val="47394A4E"/>
    <w:rsid w:val="47507FEA"/>
    <w:rsid w:val="477C2B8D"/>
    <w:rsid w:val="477F37A3"/>
    <w:rsid w:val="47A85730"/>
    <w:rsid w:val="47BB1907"/>
    <w:rsid w:val="47BE31A6"/>
    <w:rsid w:val="47FE7A46"/>
    <w:rsid w:val="480D1A37"/>
    <w:rsid w:val="48315726"/>
    <w:rsid w:val="483D056E"/>
    <w:rsid w:val="48475FB8"/>
    <w:rsid w:val="484F69EF"/>
    <w:rsid w:val="488A12DA"/>
    <w:rsid w:val="48A4239B"/>
    <w:rsid w:val="48BB5245"/>
    <w:rsid w:val="48CC36A0"/>
    <w:rsid w:val="48F76611"/>
    <w:rsid w:val="48FC3F85"/>
    <w:rsid w:val="49105C83"/>
    <w:rsid w:val="491F139E"/>
    <w:rsid w:val="49217A8E"/>
    <w:rsid w:val="49AD1724"/>
    <w:rsid w:val="49B760FE"/>
    <w:rsid w:val="49D15412"/>
    <w:rsid w:val="49ED7D72"/>
    <w:rsid w:val="4A084BAC"/>
    <w:rsid w:val="4A4B0351"/>
    <w:rsid w:val="4A5E2A1E"/>
    <w:rsid w:val="4A6F69D9"/>
    <w:rsid w:val="4A842484"/>
    <w:rsid w:val="4AA246B9"/>
    <w:rsid w:val="4ABF822D"/>
    <w:rsid w:val="4AC565F9"/>
    <w:rsid w:val="4AEB20D8"/>
    <w:rsid w:val="4AF7BB32"/>
    <w:rsid w:val="4B1355B6"/>
    <w:rsid w:val="4B304327"/>
    <w:rsid w:val="4B425E9C"/>
    <w:rsid w:val="4BAB57EF"/>
    <w:rsid w:val="4BCB40E3"/>
    <w:rsid w:val="4BD50ABE"/>
    <w:rsid w:val="4BE40D01"/>
    <w:rsid w:val="4BF9DCB2"/>
    <w:rsid w:val="4BFE3752"/>
    <w:rsid w:val="4C0373D9"/>
    <w:rsid w:val="4C0849EF"/>
    <w:rsid w:val="4C172E84"/>
    <w:rsid w:val="4C211F55"/>
    <w:rsid w:val="4CC42442"/>
    <w:rsid w:val="4CCF375F"/>
    <w:rsid w:val="4CD314A1"/>
    <w:rsid w:val="4CDA64CB"/>
    <w:rsid w:val="4CE0771A"/>
    <w:rsid w:val="4D2770F7"/>
    <w:rsid w:val="4D28227D"/>
    <w:rsid w:val="4D5663B8"/>
    <w:rsid w:val="4D5C3245"/>
    <w:rsid w:val="4D754306"/>
    <w:rsid w:val="4D812CAB"/>
    <w:rsid w:val="4DB03590"/>
    <w:rsid w:val="4DB172E0"/>
    <w:rsid w:val="4DC94652"/>
    <w:rsid w:val="4DD74FC1"/>
    <w:rsid w:val="4DDFF2D5"/>
    <w:rsid w:val="4DE4323A"/>
    <w:rsid w:val="4DEB45C9"/>
    <w:rsid w:val="4DF27705"/>
    <w:rsid w:val="4E08517B"/>
    <w:rsid w:val="4E597784"/>
    <w:rsid w:val="4E65437B"/>
    <w:rsid w:val="4E6A1991"/>
    <w:rsid w:val="4E9C3B15"/>
    <w:rsid w:val="4EAC1FAA"/>
    <w:rsid w:val="4EB40A09"/>
    <w:rsid w:val="4ECC43FA"/>
    <w:rsid w:val="4ECD3CCE"/>
    <w:rsid w:val="4ED82D9F"/>
    <w:rsid w:val="4EF120B3"/>
    <w:rsid w:val="4F05790C"/>
    <w:rsid w:val="4F0E056F"/>
    <w:rsid w:val="4F196F13"/>
    <w:rsid w:val="4F2204BE"/>
    <w:rsid w:val="4F304989"/>
    <w:rsid w:val="4F3501F1"/>
    <w:rsid w:val="4F426946"/>
    <w:rsid w:val="4F4977F9"/>
    <w:rsid w:val="4F6A776F"/>
    <w:rsid w:val="4F7505EE"/>
    <w:rsid w:val="4F786330"/>
    <w:rsid w:val="4FAD22CA"/>
    <w:rsid w:val="4FC82E13"/>
    <w:rsid w:val="4FDA48F5"/>
    <w:rsid w:val="4FDC165F"/>
    <w:rsid w:val="4FDE0578"/>
    <w:rsid w:val="4FEE65F2"/>
    <w:rsid w:val="4FF04118"/>
    <w:rsid w:val="502913D8"/>
    <w:rsid w:val="50615016"/>
    <w:rsid w:val="50A76ECD"/>
    <w:rsid w:val="50CE26AB"/>
    <w:rsid w:val="50D6330E"/>
    <w:rsid w:val="50E21CB3"/>
    <w:rsid w:val="50F814D6"/>
    <w:rsid w:val="51022355"/>
    <w:rsid w:val="51031C29"/>
    <w:rsid w:val="51053BF3"/>
    <w:rsid w:val="51112598"/>
    <w:rsid w:val="5156444F"/>
    <w:rsid w:val="51622217"/>
    <w:rsid w:val="517F39A6"/>
    <w:rsid w:val="518A5EA7"/>
    <w:rsid w:val="518E3BE9"/>
    <w:rsid w:val="51905BB3"/>
    <w:rsid w:val="519E2BC7"/>
    <w:rsid w:val="519F1952"/>
    <w:rsid w:val="51C770FB"/>
    <w:rsid w:val="52036385"/>
    <w:rsid w:val="521C2FA3"/>
    <w:rsid w:val="52263E21"/>
    <w:rsid w:val="52304CA0"/>
    <w:rsid w:val="52306A4E"/>
    <w:rsid w:val="52397FF8"/>
    <w:rsid w:val="52462715"/>
    <w:rsid w:val="528374C6"/>
    <w:rsid w:val="528623C5"/>
    <w:rsid w:val="52AA2CA4"/>
    <w:rsid w:val="52BA27BB"/>
    <w:rsid w:val="52C378C2"/>
    <w:rsid w:val="52FB1BFC"/>
    <w:rsid w:val="5311062D"/>
    <w:rsid w:val="531243A6"/>
    <w:rsid w:val="53312A7E"/>
    <w:rsid w:val="536C1DA8"/>
    <w:rsid w:val="538C23AA"/>
    <w:rsid w:val="539D45B7"/>
    <w:rsid w:val="53B37937"/>
    <w:rsid w:val="53E915AA"/>
    <w:rsid w:val="541D3A51"/>
    <w:rsid w:val="542919A7"/>
    <w:rsid w:val="544E765F"/>
    <w:rsid w:val="5458228C"/>
    <w:rsid w:val="546B73A4"/>
    <w:rsid w:val="548B440F"/>
    <w:rsid w:val="54977258"/>
    <w:rsid w:val="54B25E40"/>
    <w:rsid w:val="54B8027F"/>
    <w:rsid w:val="54D9161F"/>
    <w:rsid w:val="54DC110F"/>
    <w:rsid w:val="54ED6E78"/>
    <w:rsid w:val="54F621D1"/>
    <w:rsid w:val="54FB77E7"/>
    <w:rsid w:val="55050666"/>
    <w:rsid w:val="55164621"/>
    <w:rsid w:val="552C5BF2"/>
    <w:rsid w:val="55825812"/>
    <w:rsid w:val="55894DF3"/>
    <w:rsid w:val="55945546"/>
    <w:rsid w:val="5596306C"/>
    <w:rsid w:val="55CD4EEC"/>
    <w:rsid w:val="56010E2D"/>
    <w:rsid w:val="560426CB"/>
    <w:rsid w:val="56186177"/>
    <w:rsid w:val="563C1E65"/>
    <w:rsid w:val="56462B75"/>
    <w:rsid w:val="56466840"/>
    <w:rsid w:val="565A22EB"/>
    <w:rsid w:val="56617B1E"/>
    <w:rsid w:val="568960DF"/>
    <w:rsid w:val="56A874FB"/>
    <w:rsid w:val="56B51C18"/>
    <w:rsid w:val="56DE19CE"/>
    <w:rsid w:val="56FF5B91"/>
    <w:rsid w:val="56FF720A"/>
    <w:rsid w:val="571050A0"/>
    <w:rsid w:val="572B1EDA"/>
    <w:rsid w:val="57482A8C"/>
    <w:rsid w:val="576553EC"/>
    <w:rsid w:val="57711FE2"/>
    <w:rsid w:val="577A0AF1"/>
    <w:rsid w:val="577B076B"/>
    <w:rsid w:val="578A4E52"/>
    <w:rsid w:val="57947A7F"/>
    <w:rsid w:val="57D4431F"/>
    <w:rsid w:val="57D84817"/>
    <w:rsid w:val="57F90D39"/>
    <w:rsid w:val="582B03E3"/>
    <w:rsid w:val="58366D88"/>
    <w:rsid w:val="58367A03"/>
    <w:rsid w:val="583F0AAB"/>
    <w:rsid w:val="58443253"/>
    <w:rsid w:val="587D49B7"/>
    <w:rsid w:val="58AC7D23"/>
    <w:rsid w:val="58BE3005"/>
    <w:rsid w:val="58CB74D0"/>
    <w:rsid w:val="58D97E3F"/>
    <w:rsid w:val="58ED7447"/>
    <w:rsid w:val="58FA7DB6"/>
    <w:rsid w:val="58FE1654"/>
    <w:rsid w:val="596F4A48"/>
    <w:rsid w:val="59723DF0"/>
    <w:rsid w:val="59BF1D24"/>
    <w:rsid w:val="59C53F20"/>
    <w:rsid w:val="59EE16C8"/>
    <w:rsid w:val="59EF5441"/>
    <w:rsid w:val="59FBCB5F"/>
    <w:rsid w:val="5A156629"/>
    <w:rsid w:val="5A1B6236"/>
    <w:rsid w:val="5A421A14"/>
    <w:rsid w:val="5A461504"/>
    <w:rsid w:val="5A494B51"/>
    <w:rsid w:val="5A5359CF"/>
    <w:rsid w:val="5A581238"/>
    <w:rsid w:val="5A731BCE"/>
    <w:rsid w:val="5A755946"/>
    <w:rsid w:val="5A875679"/>
    <w:rsid w:val="5AA12BDF"/>
    <w:rsid w:val="5AB734FF"/>
    <w:rsid w:val="5ACB1A0A"/>
    <w:rsid w:val="5AE40D1D"/>
    <w:rsid w:val="5AE439FF"/>
    <w:rsid w:val="5B000EEE"/>
    <w:rsid w:val="5B215ACE"/>
    <w:rsid w:val="5B32005C"/>
    <w:rsid w:val="5B4B48F9"/>
    <w:rsid w:val="5B595267"/>
    <w:rsid w:val="5B5F2E74"/>
    <w:rsid w:val="5BA069F2"/>
    <w:rsid w:val="5BBB7CD0"/>
    <w:rsid w:val="5BCE1AB6"/>
    <w:rsid w:val="5BE03293"/>
    <w:rsid w:val="5BEF5B25"/>
    <w:rsid w:val="5BF7F763"/>
    <w:rsid w:val="5BFF46AD"/>
    <w:rsid w:val="5C11169E"/>
    <w:rsid w:val="5C4952DC"/>
    <w:rsid w:val="5C6519EA"/>
    <w:rsid w:val="5C761E49"/>
    <w:rsid w:val="5C7E485A"/>
    <w:rsid w:val="5C9347A9"/>
    <w:rsid w:val="5CB07109"/>
    <w:rsid w:val="5CCB3F43"/>
    <w:rsid w:val="5CD56B70"/>
    <w:rsid w:val="5CDA23D8"/>
    <w:rsid w:val="5CDBF65C"/>
    <w:rsid w:val="5CFA65D6"/>
    <w:rsid w:val="5D027239"/>
    <w:rsid w:val="5D0C186F"/>
    <w:rsid w:val="5D3142F3"/>
    <w:rsid w:val="5D4D6706"/>
    <w:rsid w:val="5D5A52C7"/>
    <w:rsid w:val="5D665A1A"/>
    <w:rsid w:val="5D7F9F62"/>
    <w:rsid w:val="5D9F2CDA"/>
    <w:rsid w:val="5DBB5D65"/>
    <w:rsid w:val="5DDD7A83"/>
    <w:rsid w:val="5DEC23C3"/>
    <w:rsid w:val="5DFEA4DD"/>
    <w:rsid w:val="5DFF0FD9"/>
    <w:rsid w:val="5E1E4546"/>
    <w:rsid w:val="5E3E0745"/>
    <w:rsid w:val="5E4A533B"/>
    <w:rsid w:val="5E4C10B3"/>
    <w:rsid w:val="5E5E09EC"/>
    <w:rsid w:val="5E5F0DE7"/>
    <w:rsid w:val="5E8C5954"/>
    <w:rsid w:val="5EC04793"/>
    <w:rsid w:val="5EFC6636"/>
    <w:rsid w:val="5F1FFBE5"/>
    <w:rsid w:val="5F406A62"/>
    <w:rsid w:val="5F526256"/>
    <w:rsid w:val="5F57B1E6"/>
    <w:rsid w:val="5F585836"/>
    <w:rsid w:val="5F5D856F"/>
    <w:rsid w:val="5F5FE4E9"/>
    <w:rsid w:val="5F681F1D"/>
    <w:rsid w:val="5F764FA5"/>
    <w:rsid w:val="5F7C7776"/>
    <w:rsid w:val="5F7F022F"/>
    <w:rsid w:val="5F85487D"/>
    <w:rsid w:val="5F95EFF5"/>
    <w:rsid w:val="5FA62A45"/>
    <w:rsid w:val="5FB76A00"/>
    <w:rsid w:val="5FBA078E"/>
    <w:rsid w:val="5FDF67C1"/>
    <w:rsid w:val="5FFD766D"/>
    <w:rsid w:val="5FFF36A9"/>
    <w:rsid w:val="5FFF4138"/>
    <w:rsid w:val="5FFF7F63"/>
    <w:rsid w:val="601C4AB5"/>
    <w:rsid w:val="60261490"/>
    <w:rsid w:val="602A71D2"/>
    <w:rsid w:val="60AF76D8"/>
    <w:rsid w:val="60F021CA"/>
    <w:rsid w:val="611F660B"/>
    <w:rsid w:val="61436338"/>
    <w:rsid w:val="61671D60"/>
    <w:rsid w:val="61744BA1"/>
    <w:rsid w:val="61776447"/>
    <w:rsid w:val="61CD6067"/>
    <w:rsid w:val="61E635CD"/>
    <w:rsid w:val="61F07FA8"/>
    <w:rsid w:val="62064C00"/>
    <w:rsid w:val="62173786"/>
    <w:rsid w:val="6243457B"/>
    <w:rsid w:val="624D53FA"/>
    <w:rsid w:val="62774225"/>
    <w:rsid w:val="627806C9"/>
    <w:rsid w:val="62797F9D"/>
    <w:rsid w:val="628232F6"/>
    <w:rsid w:val="628A03FC"/>
    <w:rsid w:val="62943029"/>
    <w:rsid w:val="62AF39BF"/>
    <w:rsid w:val="62C54F90"/>
    <w:rsid w:val="62EA49F7"/>
    <w:rsid w:val="62EC69C1"/>
    <w:rsid w:val="62EF025F"/>
    <w:rsid w:val="631B0C1A"/>
    <w:rsid w:val="632223E3"/>
    <w:rsid w:val="63471E49"/>
    <w:rsid w:val="634C5CEC"/>
    <w:rsid w:val="63D86F45"/>
    <w:rsid w:val="63DC07E4"/>
    <w:rsid w:val="640E2967"/>
    <w:rsid w:val="64195594"/>
    <w:rsid w:val="64354398"/>
    <w:rsid w:val="645C1924"/>
    <w:rsid w:val="646F3406"/>
    <w:rsid w:val="6477050C"/>
    <w:rsid w:val="64790728"/>
    <w:rsid w:val="64E33DF4"/>
    <w:rsid w:val="64EC4A56"/>
    <w:rsid w:val="64FDC44A"/>
    <w:rsid w:val="65000502"/>
    <w:rsid w:val="650F4BE9"/>
    <w:rsid w:val="652A557F"/>
    <w:rsid w:val="653B778C"/>
    <w:rsid w:val="65401246"/>
    <w:rsid w:val="654A5C21"/>
    <w:rsid w:val="657A4758"/>
    <w:rsid w:val="65D976D1"/>
    <w:rsid w:val="65FC6F1B"/>
    <w:rsid w:val="661C136B"/>
    <w:rsid w:val="664B39FF"/>
    <w:rsid w:val="664F7993"/>
    <w:rsid w:val="66522FDF"/>
    <w:rsid w:val="665F662B"/>
    <w:rsid w:val="66B477F6"/>
    <w:rsid w:val="66E02E1B"/>
    <w:rsid w:val="66E04A8F"/>
    <w:rsid w:val="66E3632D"/>
    <w:rsid w:val="66EC6F90"/>
    <w:rsid w:val="66FD73EF"/>
    <w:rsid w:val="671464E6"/>
    <w:rsid w:val="671604B0"/>
    <w:rsid w:val="6739419F"/>
    <w:rsid w:val="673D77EB"/>
    <w:rsid w:val="676F3636"/>
    <w:rsid w:val="67753429"/>
    <w:rsid w:val="679D472E"/>
    <w:rsid w:val="67A755AC"/>
    <w:rsid w:val="67BFF13F"/>
    <w:rsid w:val="67C65A33"/>
    <w:rsid w:val="67CE2B39"/>
    <w:rsid w:val="67DF86F2"/>
    <w:rsid w:val="67FF7197"/>
    <w:rsid w:val="68182006"/>
    <w:rsid w:val="682018A5"/>
    <w:rsid w:val="685F7C35"/>
    <w:rsid w:val="6865349E"/>
    <w:rsid w:val="68883112"/>
    <w:rsid w:val="68955405"/>
    <w:rsid w:val="68E63EB3"/>
    <w:rsid w:val="68EB0FD0"/>
    <w:rsid w:val="68F0088D"/>
    <w:rsid w:val="68FB170C"/>
    <w:rsid w:val="69083E29"/>
    <w:rsid w:val="69164798"/>
    <w:rsid w:val="694806C9"/>
    <w:rsid w:val="694A61EF"/>
    <w:rsid w:val="695D4175"/>
    <w:rsid w:val="69676DA1"/>
    <w:rsid w:val="69692B1A"/>
    <w:rsid w:val="699851AD"/>
    <w:rsid w:val="69C2222A"/>
    <w:rsid w:val="69C50226"/>
    <w:rsid w:val="69C73CE4"/>
    <w:rsid w:val="69E71C90"/>
    <w:rsid w:val="69FB64B7"/>
    <w:rsid w:val="6A1767CD"/>
    <w:rsid w:val="6A2B7DCF"/>
    <w:rsid w:val="6A38073E"/>
    <w:rsid w:val="6A5A06B4"/>
    <w:rsid w:val="6A6362C3"/>
    <w:rsid w:val="6A6D6639"/>
    <w:rsid w:val="6A892D47"/>
    <w:rsid w:val="6AAB7162"/>
    <w:rsid w:val="6AD31ECF"/>
    <w:rsid w:val="6AE3DF70"/>
    <w:rsid w:val="6AF40B09"/>
    <w:rsid w:val="6B2018FE"/>
    <w:rsid w:val="6B2313EE"/>
    <w:rsid w:val="6B5B0B88"/>
    <w:rsid w:val="6B713F07"/>
    <w:rsid w:val="6B8C6F93"/>
    <w:rsid w:val="6BB40298"/>
    <w:rsid w:val="6BBD063D"/>
    <w:rsid w:val="6BCF6E80"/>
    <w:rsid w:val="6BDD563D"/>
    <w:rsid w:val="6BDEBCAA"/>
    <w:rsid w:val="6BE7CF3F"/>
    <w:rsid w:val="6BE91CF0"/>
    <w:rsid w:val="6BFB41FF"/>
    <w:rsid w:val="6C515AE7"/>
    <w:rsid w:val="6C580C23"/>
    <w:rsid w:val="6C953C26"/>
    <w:rsid w:val="6CA36342"/>
    <w:rsid w:val="6CB542C8"/>
    <w:rsid w:val="6CD40BF2"/>
    <w:rsid w:val="6D0D7C60"/>
    <w:rsid w:val="6D747CDF"/>
    <w:rsid w:val="6D7777CF"/>
    <w:rsid w:val="6D8A5754"/>
    <w:rsid w:val="6D8A7502"/>
    <w:rsid w:val="6DAE1443"/>
    <w:rsid w:val="6DAF6F69"/>
    <w:rsid w:val="6DBF1FB1"/>
    <w:rsid w:val="6DC02F24"/>
    <w:rsid w:val="6DCF760B"/>
    <w:rsid w:val="6DEF55B7"/>
    <w:rsid w:val="6DF7EA5E"/>
    <w:rsid w:val="6DFA4688"/>
    <w:rsid w:val="6E39228E"/>
    <w:rsid w:val="6E393FF7"/>
    <w:rsid w:val="6E5F273D"/>
    <w:rsid w:val="6E647D53"/>
    <w:rsid w:val="6E6715F2"/>
    <w:rsid w:val="6E6B10E2"/>
    <w:rsid w:val="6E8E6B7E"/>
    <w:rsid w:val="6EBA7973"/>
    <w:rsid w:val="6EBF8399"/>
    <w:rsid w:val="6EC16F54"/>
    <w:rsid w:val="6EC922AC"/>
    <w:rsid w:val="6EFB0E33"/>
    <w:rsid w:val="6EFE1F56"/>
    <w:rsid w:val="6F0357BE"/>
    <w:rsid w:val="6F0D2199"/>
    <w:rsid w:val="6F173018"/>
    <w:rsid w:val="6F375468"/>
    <w:rsid w:val="6F426A71"/>
    <w:rsid w:val="6F4A7BF0"/>
    <w:rsid w:val="6F4B4A6F"/>
    <w:rsid w:val="6F525DFE"/>
    <w:rsid w:val="6F541B76"/>
    <w:rsid w:val="6F6A75EB"/>
    <w:rsid w:val="6F75BD2E"/>
    <w:rsid w:val="6F7D44AE"/>
    <w:rsid w:val="6F8B843C"/>
    <w:rsid w:val="6FB22D40"/>
    <w:rsid w:val="6FB30BD6"/>
    <w:rsid w:val="6FB5B8FD"/>
    <w:rsid w:val="6FB7BEDE"/>
    <w:rsid w:val="6FCDE35F"/>
    <w:rsid w:val="6FFB8D75"/>
    <w:rsid w:val="6FFC1DF4"/>
    <w:rsid w:val="6FFE0096"/>
    <w:rsid w:val="6FFF3FC4"/>
    <w:rsid w:val="6FFF88C6"/>
    <w:rsid w:val="70271038"/>
    <w:rsid w:val="70311EB7"/>
    <w:rsid w:val="70657DB3"/>
    <w:rsid w:val="707324D0"/>
    <w:rsid w:val="707D6EAA"/>
    <w:rsid w:val="709F5073"/>
    <w:rsid w:val="70C1323B"/>
    <w:rsid w:val="70C42D2B"/>
    <w:rsid w:val="70D70CB1"/>
    <w:rsid w:val="70E433CD"/>
    <w:rsid w:val="70EE5FFA"/>
    <w:rsid w:val="710870BC"/>
    <w:rsid w:val="71241A1C"/>
    <w:rsid w:val="71357785"/>
    <w:rsid w:val="7141437C"/>
    <w:rsid w:val="716767AF"/>
    <w:rsid w:val="716C313B"/>
    <w:rsid w:val="716F0EE9"/>
    <w:rsid w:val="71864485"/>
    <w:rsid w:val="719E17CE"/>
    <w:rsid w:val="71A010A2"/>
    <w:rsid w:val="71B763EC"/>
    <w:rsid w:val="71CA611F"/>
    <w:rsid w:val="71E2790D"/>
    <w:rsid w:val="71FA364F"/>
    <w:rsid w:val="721FC2A2"/>
    <w:rsid w:val="722A58F0"/>
    <w:rsid w:val="7238577F"/>
    <w:rsid w:val="723D2D95"/>
    <w:rsid w:val="723EA065"/>
    <w:rsid w:val="724C2FD8"/>
    <w:rsid w:val="724E6D50"/>
    <w:rsid w:val="72665710"/>
    <w:rsid w:val="72806CB3"/>
    <w:rsid w:val="7299C971"/>
    <w:rsid w:val="72D74F98"/>
    <w:rsid w:val="72FB487B"/>
    <w:rsid w:val="72FDBBE9"/>
    <w:rsid w:val="735A34D3"/>
    <w:rsid w:val="7363682B"/>
    <w:rsid w:val="73697BBA"/>
    <w:rsid w:val="737B652A"/>
    <w:rsid w:val="737FB5BB"/>
    <w:rsid w:val="738E13CF"/>
    <w:rsid w:val="738F7621"/>
    <w:rsid w:val="739B3195"/>
    <w:rsid w:val="73B07597"/>
    <w:rsid w:val="73B3A587"/>
    <w:rsid w:val="73BB0416"/>
    <w:rsid w:val="73DDD4EE"/>
    <w:rsid w:val="73FB92DA"/>
    <w:rsid w:val="73FD23D1"/>
    <w:rsid w:val="73FFB328"/>
    <w:rsid w:val="740A314B"/>
    <w:rsid w:val="741144D9"/>
    <w:rsid w:val="743E4BA3"/>
    <w:rsid w:val="74470C8A"/>
    <w:rsid w:val="74471CA9"/>
    <w:rsid w:val="74493C73"/>
    <w:rsid w:val="7456013E"/>
    <w:rsid w:val="7463198D"/>
    <w:rsid w:val="746F1200"/>
    <w:rsid w:val="74806F69"/>
    <w:rsid w:val="74842EFD"/>
    <w:rsid w:val="74BC549C"/>
    <w:rsid w:val="74C652C4"/>
    <w:rsid w:val="74E25E76"/>
    <w:rsid w:val="752E2E69"/>
    <w:rsid w:val="753C37D8"/>
    <w:rsid w:val="753F6E24"/>
    <w:rsid w:val="755B5CB4"/>
    <w:rsid w:val="7577D52F"/>
    <w:rsid w:val="75874327"/>
    <w:rsid w:val="7599F053"/>
    <w:rsid w:val="759D1CD6"/>
    <w:rsid w:val="75C86E1A"/>
    <w:rsid w:val="75EA273D"/>
    <w:rsid w:val="7601232C"/>
    <w:rsid w:val="762304F4"/>
    <w:rsid w:val="76360227"/>
    <w:rsid w:val="764C7A4B"/>
    <w:rsid w:val="76530DD9"/>
    <w:rsid w:val="767CDA90"/>
    <w:rsid w:val="767FA06F"/>
    <w:rsid w:val="76B79664"/>
    <w:rsid w:val="76C85916"/>
    <w:rsid w:val="76D937FA"/>
    <w:rsid w:val="76DE441B"/>
    <w:rsid w:val="76E11AB7"/>
    <w:rsid w:val="76FE3315"/>
    <w:rsid w:val="771B1834"/>
    <w:rsid w:val="774B1AB0"/>
    <w:rsid w:val="776FE01D"/>
    <w:rsid w:val="777A05E8"/>
    <w:rsid w:val="777DA981"/>
    <w:rsid w:val="7786479A"/>
    <w:rsid w:val="77882D05"/>
    <w:rsid w:val="778E9A3C"/>
    <w:rsid w:val="77980A6E"/>
    <w:rsid w:val="779A6594"/>
    <w:rsid w:val="77AF433D"/>
    <w:rsid w:val="77C81353"/>
    <w:rsid w:val="77CD08E3"/>
    <w:rsid w:val="77DEE7F8"/>
    <w:rsid w:val="77E85551"/>
    <w:rsid w:val="77EF5F4F"/>
    <w:rsid w:val="77F06145"/>
    <w:rsid w:val="77F733FE"/>
    <w:rsid w:val="77FBE6F1"/>
    <w:rsid w:val="77FD8D74"/>
    <w:rsid w:val="77FF8909"/>
    <w:rsid w:val="77FF8FEE"/>
    <w:rsid w:val="782A5B6A"/>
    <w:rsid w:val="78482494"/>
    <w:rsid w:val="785B21C7"/>
    <w:rsid w:val="7863107C"/>
    <w:rsid w:val="78774B27"/>
    <w:rsid w:val="788D00E0"/>
    <w:rsid w:val="78A05E2C"/>
    <w:rsid w:val="78A23952"/>
    <w:rsid w:val="78E026CC"/>
    <w:rsid w:val="78E26444"/>
    <w:rsid w:val="78E73A5B"/>
    <w:rsid w:val="78F7D224"/>
    <w:rsid w:val="79183555"/>
    <w:rsid w:val="794C7D62"/>
    <w:rsid w:val="794E3ADA"/>
    <w:rsid w:val="7956473D"/>
    <w:rsid w:val="799247FE"/>
    <w:rsid w:val="79A731EA"/>
    <w:rsid w:val="79AE6327"/>
    <w:rsid w:val="79DD375D"/>
    <w:rsid w:val="79E32474"/>
    <w:rsid w:val="79EF2373"/>
    <w:rsid w:val="79F301DD"/>
    <w:rsid w:val="79F503F9"/>
    <w:rsid w:val="79F7EE5F"/>
    <w:rsid w:val="79FF894C"/>
    <w:rsid w:val="7A0D129F"/>
    <w:rsid w:val="7A0D74F1"/>
    <w:rsid w:val="7A1940E8"/>
    <w:rsid w:val="7A1F0FD2"/>
    <w:rsid w:val="7A2111EE"/>
    <w:rsid w:val="7A225AF0"/>
    <w:rsid w:val="7A2B7977"/>
    <w:rsid w:val="7A4647B1"/>
    <w:rsid w:val="7A794B87"/>
    <w:rsid w:val="7A7E075A"/>
    <w:rsid w:val="7A925C48"/>
    <w:rsid w:val="7AD46261"/>
    <w:rsid w:val="7AF7D37F"/>
    <w:rsid w:val="7B203254"/>
    <w:rsid w:val="7B3D3E06"/>
    <w:rsid w:val="7B445194"/>
    <w:rsid w:val="7B4C229B"/>
    <w:rsid w:val="7B6018A2"/>
    <w:rsid w:val="7B62FB1C"/>
    <w:rsid w:val="7B7982A3"/>
    <w:rsid w:val="7B7F194B"/>
    <w:rsid w:val="7BAF5786"/>
    <w:rsid w:val="7BB48F48"/>
    <w:rsid w:val="7BD1454E"/>
    <w:rsid w:val="7BD87A15"/>
    <w:rsid w:val="7BF2699E"/>
    <w:rsid w:val="7BF6E476"/>
    <w:rsid w:val="7BFA5853"/>
    <w:rsid w:val="7BFBCF14"/>
    <w:rsid w:val="7BFE4621"/>
    <w:rsid w:val="7C046812"/>
    <w:rsid w:val="7C0C5586"/>
    <w:rsid w:val="7C176405"/>
    <w:rsid w:val="7C1F175E"/>
    <w:rsid w:val="7C217284"/>
    <w:rsid w:val="7C507B69"/>
    <w:rsid w:val="7C5F1B5A"/>
    <w:rsid w:val="7C7B7371"/>
    <w:rsid w:val="7C7E056D"/>
    <w:rsid w:val="7C8D7193"/>
    <w:rsid w:val="7CAB4D9F"/>
    <w:rsid w:val="7CBE20AC"/>
    <w:rsid w:val="7CC320E9"/>
    <w:rsid w:val="7CCD740C"/>
    <w:rsid w:val="7CD47394"/>
    <w:rsid w:val="7CDF6B71"/>
    <w:rsid w:val="7CDFD445"/>
    <w:rsid w:val="7CE56503"/>
    <w:rsid w:val="7CF624BE"/>
    <w:rsid w:val="7D123FD3"/>
    <w:rsid w:val="7D1B760C"/>
    <w:rsid w:val="7D627B54"/>
    <w:rsid w:val="7D7A30EF"/>
    <w:rsid w:val="7DADFB7B"/>
    <w:rsid w:val="7DB55ED6"/>
    <w:rsid w:val="7DBE8632"/>
    <w:rsid w:val="7DD53841"/>
    <w:rsid w:val="7DEF2AD7"/>
    <w:rsid w:val="7DEFF4E6"/>
    <w:rsid w:val="7DF844A7"/>
    <w:rsid w:val="7DFA3ABF"/>
    <w:rsid w:val="7DFAA2CF"/>
    <w:rsid w:val="7DFE57EA"/>
    <w:rsid w:val="7DFF6B91"/>
    <w:rsid w:val="7E1D1CCD"/>
    <w:rsid w:val="7E2E5C88"/>
    <w:rsid w:val="7E327526"/>
    <w:rsid w:val="7E751B09"/>
    <w:rsid w:val="7E76D65B"/>
    <w:rsid w:val="7E77762F"/>
    <w:rsid w:val="7E7D961B"/>
    <w:rsid w:val="7E8D29AE"/>
    <w:rsid w:val="7E941F8F"/>
    <w:rsid w:val="7E9FAA34"/>
    <w:rsid w:val="7EC30AC6"/>
    <w:rsid w:val="7ECBBC9D"/>
    <w:rsid w:val="7EDC56E4"/>
    <w:rsid w:val="7EE66563"/>
    <w:rsid w:val="7EF05A8C"/>
    <w:rsid w:val="7EF742CC"/>
    <w:rsid w:val="7EFAD2FD"/>
    <w:rsid w:val="7F055538"/>
    <w:rsid w:val="7F233313"/>
    <w:rsid w:val="7F25708B"/>
    <w:rsid w:val="7F3E3DC5"/>
    <w:rsid w:val="7F3F8BE6"/>
    <w:rsid w:val="7F473826"/>
    <w:rsid w:val="7F572FBC"/>
    <w:rsid w:val="7F5F93DA"/>
    <w:rsid w:val="7F5FD045"/>
    <w:rsid w:val="7F604567"/>
    <w:rsid w:val="7F9164CE"/>
    <w:rsid w:val="7F992CFA"/>
    <w:rsid w:val="7FA82817"/>
    <w:rsid w:val="7FB76CA3"/>
    <w:rsid w:val="7FBF128D"/>
    <w:rsid w:val="7FD21EFD"/>
    <w:rsid w:val="7FDC7248"/>
    <w:rsid w:val="7FDE32A0"/>
    <w:rsid w:val="7FE231CE"/>
    <w:rsid w:val="7FE25A89"/>
    <w:rsid w:val="7FE9630A"/>
    <w:rsid w:val="7FEC0D01"/>
    <w:rsid w:val="7FEC7BA9"/>
    <w:rsid w:val="7FEF8CDA"/>
    <w:rsid w:val="7FF37189"/>
    <w:rsid w:val="7FF5124E"/>
    <w:rsid w:val="7FF739E8"/>
    <w:rsid w:val="7FF74B96"/>
    <w:rsid w:val="7FF9C62F"/>
    <w:rsid w:val="7FFB3B31"/>
    <w:rsid w:val="7FFD4414"/>
    <w:rsid w:val="7FFD6F4B"/>
    <w:rsid w:val="7FFDA1A3"/>
    <w:rsid w:val="7FFDC497"/>
    <w:rsid w:val="7FFEA4AF"/>
    <w:rsid w:val="7FFEF183"/>
    <w:rsid w:val="7FFF0644"/>
    <w:rsid w:val="7FFF4229"/>
    <w:rsid w:val="7FFF87FE"/>
    <w:rsid w:val="7FFFE835"/>
    <w:rsid w:val="8DFA68CB"/>
    <w:rsid w:val="8FA35258"/>
    <w:rsid w:val="8FFD141B"/>
    <w:rsid w:val="91FA4366"/>
    <w:rsid w:val="97FE19F3"/>
    <w:rsid w:val="99FB1836"/>
    <w:rsid w:val="99FDCBBA"/>
    <w:rsid w:val="9BFBF533"/>
    <w:rsid w:val="9F9FAA96"/>
    <w:rsid w:val="9FBF815D"/>
    <w:rsid w:val="9FD1E6E7"/>
    <w:rsid w:val="9FDFAE46"/>
    <w:rsid w:val="9FDFC9A0"/>
    <w:rsid w:val="A0AB243B"/>
    <w:rsid w:val="A357EE67"/>
    <w:rsid w:val="A3D5877D"/>
    <w:rsid w:val="A63F3170"/>
    <w:rsid w:val="A73B55D8"/>
    <w:rsid w:val="A7D9BC52"/>
    <w:rsid w:val="A7DF199F"/>
    <w:rsid w:val="A8ED8AFD"/>
    <w:rsid w:val="ABBEEE7D"/>
    <w:rsid w:val="ADAF740B"/>
    <w:rsid w:val="AF7EAF96"/>
    <w:rsid w:val="AF97EBF8"/>
    <w:rsid w:val="AFAF5C93"/>
    <w:rsid w:val="AFB7806F"/>
    <w:rsid w:val="AFBD56DA"/>
    <w:rsid w:val="AFBF6472"/>
    <w:rsid w:val="AFEFCE55"/>
    <w:rsid w:val="AFFB97D1"/>
    <w:rsid w:val="AFFFA7C3"/>
    <w:rsid w:val="B057E1CF"/>
    <w:rsid w:val="B0B52C82"/>
    <w:rsid w:val="B29DAFD7"/>
    <w:rsid w:val="B2ED78D6"/>
    <w:rsid w:val="B2FDC917"/>
    <w:rsid w:val="B4FFC0DC"/>
    <w:rsid w:val="B63F3C66"/>
    <w:rsid w:val="B6EB828A"/>
    <w:rsid w:val="B6FDDFAE"/>
    <w:rsid w:val="B77E7593"/>
    <w:rsid w:val="B77EE4FB"/>
    <w:rsid w:val="B79DD17E"/>
    <w:rsid w:val="B7D14384"/>
    <w:rsid w:val="B7D75F02"/>
    <w:rsid w:val="B7FF8CFE"/>
    <w:rsid w:val="B7FFC6EA"/>
    <w:rsid w:val="BB3D5292"/>
    <w:rsid w:val="BBD59C27"/>
    <w:rsid w:val="BBFFFFD3"/>
    <w:rsid w:val="BC5EFFFA"/>
    <w:rsid w:val="BCBC191E"/>
    <w:rsid w:val="BCFDF261"/>
    <w:rsid w:val="BCFF6B7A"/>
    <w:rsid w:val="BCFFD4E0"/>
    <w:rsid w:val="BD2D35D6"/>
    <w:rsid w:val="BD36DDFB"/>
    <w:rsid w:val="BD6AA360"/>
    <w:rsid w:val="BD740B63"/>
    <w:rsid w:val="BD9E7E50"/>
    <w:rsid w:val="BDAE244E"/>
    <w:rsid w:val="BDBF463F"/>
    <w:rsid w:val="BDCD8F82"/>
    <w:rsid w:val="BDF7C00B"/>
    <w:rsid w:val="BDFD056C"/>
    <w:rsid w:val="BDFDC048"/>
    <w:rsid w:val="BDFE9F0B"/>
    <w:rsid w:val="BDFF2E26"/>
    <w:rsid w:val="BE6B0438"/>
    <w:rsid w:val="BE7F04C3"/>
    <w:rsid w:val="BEEFAA20"/>
    <w:rsid w:val="BEFD168A"/>
    <w:rsid w:val="BEFE3643"/>
    <w:rsid w:val="BF7E9AC7"/>
    <w:rsid w:val="BFAB6ECB"/>
    <w:rsid w:val="BFB2790C"/>
    <w:rsid w:val="BFFA3246"/>
    <w:rsid w:val="BFFB9F21"/>
    <w:rsid w:val="BFFE555B"/>
    <w:rsid w:val="BFFF6F31"/>
    <w:rsid w:val="BFFFB78D"/>
    <w:rsid w:val="C35FA7BD"/>
    <w:rsid w:val="C7FD51FF"/>
    <w:rsid w:val="C7FF2CB4"/>
    <w:rsid w:val="CB8FC430"/>
    <w:rsid w:val="CBDDBB55"/>
    <w:rsid w:val="CDBF4E13"/>
    <w:rsid w:val="CF7FDC97"/>
    <w:rsid w:val="CFBA6C29"/>
    <w:rsid w:val="CFD95608"/>
    <w:rsid w:val="D07B1FC1"/>
    <w:rsid w:val="D2F83035"/>
    <w:rsid w:val="D37FE622"/>
    <w:rsid w:val="D3BF55B3"/>
    <w:rsid w:val="D59FB2FB"/>
    <w:rsid w:val="D6FD9CDB"/>
    <w:rsid w:val="D77F0F71"/>
    <w:rsid w:val="D7DB89D0"/>
    <w:rsid w:val="D7DF2AD5"/>
    <w:rsid w:val="D7EF9E92"/>
    <w:rsid w:val="D7FF7121"/>
    <w:rsid w:val="D897F869"/>
    <w:rsid w:val="DB3F0082"/>
    <w:rsid w:val="DBD44197"/>
    <w:rsid w:val="DBF9C018"/>
    <w:rsid w:val="DBFCFC6D"/>
    <w:rsid w:val="DD9FFAA6"/>
    <w:rsid w:val="DDBFA631"/>
    <w:rsid w:val="DDEAF19A"/>
    <w:rsid w:val="DE75B684"/>
    <w:rsid w:val="DEFDA162"/>
    <w:rsid w:val="DF17EB37"/>
    <w:rsid w:val="DF5899C9"/>
    <w:rsid w:val="DF7F2EB2"/>
    <w:rsid w:val="DF94F9F3"/>
    <w:rsid w:val="DFAF3CD1"/>
    <w:rsid w:val="DFBE8D03"/>
    <w:rsid w:val="DFBF48EE"/>
    <w:rsid w:val="DFDDA597"/>
    <w:rsid w:val="DFE429E2"/>
    <w:rsid w:val="DFEDCC09"/>
    <w:rsid w:val="DFFE3782"/>
    <w:rsid w:val="E3E7C5E7"/>
    <w:rsid w:val="E4EBF355"/>
    <w:rsid w:val="E5C77B99"/>
    <w:rsid w:val="E5FE1E45"/>
    <w:rsid w:val="E61DD1BF"/>
    <w:rsid w:val="E73EFD8C"/>
    <w:rsid w:val="E7B3B110"/>
    <w:rsid w:val="E7BFBB9A"/>
    <w:rsid w:val="E7C54352"/>
    <w:rsid w:val="E7E172DB"/>
    <w:rsid w:val="E7EF1B8D"/>
    <w:rsid w:val="E7FBB6A9"/>
    <w:rsid w:val="E7FD8975"/>
    <w:rsid w:val="E9B7D055"/>
    <w:rsid w:val="E9BF8273"/>
    <w:rsid w:val="EAF71A1D"/>
    <w:rsid w:val="EB9A2B86"/>
    <w:rsid w:val="EBAD7D26"/>
    <w:rsid w:val="EBE2ACA0"/>
    <w:rsid w:val="ECF7BBB7"/>
    <w:rsid w:val="ECFE211C"/>
    <w:rsid w:val="ED9B2617"/>
    <w:rsid w:val="EDD650D8"/>
    <w:rsid w:val="EDFE2588"/>
    <w:rsid w:val="EDFF1B70"/>
    <w:rsid w:val="EE7380A9"/>
    <w:rsid w:val="EE976739"/>
    <w:rsid w:val="EEB9C902"/>
    <w:rsid w:val="EF2F6B78"/>
    <w:rsid w:val="EF3AA946"/>
    <w:rsid w:val="EF6F6AB0"/>
    <w:rsid w:val="EF715AF5"/>
    <w:rsid w:val="EF7CDD47"/>
    <w:rsid w:val="EFAB8A9A"/>
    <w:rsid w:val="EFDF44FB"/>
    <w:rsid w:val="EFE96078"/>
    <w:rsid w:val="EFEC67CF"/>
    <w:rsid w:val="EFEE69D6"/>
    <w:rsid w:val="EFF7832F"/>
    <w:rsid w:val="EFFF2B77"/>
    <w:rsid w:val="EFFF2C71"/>
    <w:rsid w:val="EFFF840E"/>
    <w:rsid w:val="EFFFA6D4"/>
    <w:rsid w:val="F2DCC57E"/>
    <w:rsid w:val="F35EEA27"/>
    <w:rsid w:val="F3F55D59"/>
    <w:rsid w:val="F3F7119C"/>
    <w:rsid w:val="F3FF09AD"/>
    <w:rsid w:val="F4BF7435"/>
    <w:rsid w:val="F58A3975"/>
    <w:rsid w:val="F5CE0DA7"/>
    <w:rsid w:val="F6DFDFE4"/>
    <w:rsid w:val="F6FC39BE"/>
    <w:rsid w:val="F73E15F2"/>
    <w:rsid w:val="F73FBFB8"/>
    <w:rsid w:val="F75126F9"/>
    <w:rsid w:val="F7756899"/>
    <w:rsid w:val="F7778DBA"/>
    <w:rsid w:val="F77F9634"/>
    <w:rsid w:val="F79630C3"/>
    <w:rsid w:val="F79F22FE"/>
    <w:rsid w:val="F7DB2E57"/>
    <w:rsid w:val="F7E7BCEF"/>
    <w:rsid w:val="F7F4E6E3"/>
    <w:rsid w:val="F7F74F28"/>
    <w:rsid w:val="F7FB3AD6"/>
    <w:rsid w:val="F7FF093D"/>
    <w:rsid w:val="F7FF3013"/>
    <w:rsid w:val="F7FFDF0E"/>
    <w:rsid w:val="F8B72294"/>
    <w:rsid w:val="F9BD1D74"/>
    <w:rsid w:val="F9DF10F8"/>
    <w:rsid w:val="F9E6CD98"/>
    <w:rsid w:val="F9ED651C"/>
    <w:rsid w:val="F9F38B51"/>
    <w:rsid w:val="F9FB2A4C"/>
    <w:rsid w:val="F9FF2A09"/>
    <w:rsid w:val="FA7371BD"/>
    <w:rsid w:val="FADF5818"/>
    <w:rsid w:val="FADFD544"/>
    <w:rsid w:val="FB2F49C7"/>
    <w:rsid w:val="FB3E6175"/>
    <w:rsid w:val="FB79B8F7"/>
    <w:rsid w:val="FB8F3090"/>
    <w:rsid w:val="FBAF0CBD"/>
    <w:rsid w:val="FBBF502E"/>
    <w:rsid w:val="FBBF79F0"/>
    <w:rsid w:val="FBCFAF2B"/>
    <w:rsid w:val="FBD69DDB"/>
    <w:rsid w:val="FBD798E9"/>
    <w:rsid w:val="FBEFCD8A"/>
    <w:rsid w:val="FBFDDE3A"/>
    <w:rsid w:val="FBFF219E"/>
    <w:rsid w:val="FCFD8656"/>
    <w:rsid w:val="FD2F7ABD"/>
    <w:rsid w:val="FD61C026"/>
    <w:rsid w:val="FD6F5F72"/>
    <w:rsid w:val="FD7E200D"/>
    <w:rsid w:val="FD973B9A"/>
    <w:rsid w:val="FDBDE2A3"/>
    <w:rsid w:val="FDBFDCB6"/>
    <w:rsid w:val="FDCB571E"/>
    <w:rsid w:val="FDDC9C16"/>
    <w:rsid w:val="FDEAAEDE"/>
    <w:rsid w:val="FDEBE08D"/>
    <w:rsid w:val="FDF64CCA"/>
    <w:rsid w:val="FDFD446C"/>
    <w:rsid w:val="FDFFFB3F"/>
    <w:rsid w:val="FE6EE3B7"/>
    <w:rsid w:val="FE7F4744"/>
    <w:rsid w:val="FEABA17A"/>
    <w:rsid w:val="FEBF8636"/>
    <w:rsid w:val="FED789D9"/>
    <w:rsid w:val="FEDD2A22"/>
    <w:rsid w:val="FEDFF726"/>
    <w:rsid w:val="FEEF8568"/>
    <w:rsid w:val="FEF2D92B"/>
    <w:rsid w:val="FEFB059F"/>
    <w:rsid w:val="FEFBE811"/>
    <w:rsid w:val="FEFD9080"/>
    <w:rsid w:val="FEFF02D6"/>
    <w:rsid w:val="FEFF6032"/>
    <w:rsid w:val="FEFFEF7D"/>
    <w:rsid w:val="FF5BD436"/>
    <w:rsid w:val="FF6D9FF1"/>
    <w:rsid w:val="FF6F5F2D"/>
    <w:rsid w:val="FF7C3FC3"/>
    <w:rsid w:val="FF7D2C5C"/>
    <w:rsid w:val="FF7DAC6E"/>
    <w:rsid w:val="FFBA5FEA"/>
    <w:rsid w:val="FFBD0EA5"/>
    <w:rsid w:val="FFBE0285"/>
    <w:rsid w:val="FFBF6B05"/>
    <w:rsid w:val="FFD548E4"/>
    <w:rsid w:val="FFDC1B04"/>
    <w:rsid w:val="FFDD5961"/>
    <w:rsid w:val="FFDECBD6"/>
    <w:rsid w:val="FFDFDC62"/>
    <w:rsid w:val="FFE6B1F2"/>
    <w:rsid w:val="FFEA682D"/>
    <w:rsid w:val="FFEBD245"/>
    <w:rsid w:val="FFEDDB6B"/>
    <w:rsid w:val="FFF105C4"/>
    <w:rsid w:val="FFF3E477"/>
    <w:rsid w:val="FFF5D6E4"/>
    <w:rsid w:val="FFFB5A4C"/>
    <w:rsid w:val="FFFB79FC"/>
    <w:rsid w:val="FFFBAE58"/>
    <w:rsid w:val="FFFDF0A0"/>
    <w:rsid w:val="FFFF66A6"/>
    <w:rsid w:val="FFFF687D"/>
    <w:rsid w:val="FFFF8496"/>
    <w:rsid w:val="FFFF8966"/>
    <w:rsid w:val="FFFF992E"/>
    <w:rsid w:val="FFFFC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Body Text"/>
    <w:basedOn w:val="1"/>
    <w:next w:val="1"/>
    <w:autoRedefine/>
    <w:qFormat/>
    <w:uiPriority w:val="99"/>
  </w:style>
  <w:style w:type="paragraph" w:styleId="4">
    <w:name w:val="footer"/>
    <w:basedOn w:val="1"/>
    <w:autoRedefine/>
    <w:qFormat/>
    <w:uiPriority w:val="99"/>
    <w:pPr>
      <w:tabs>
        <w:tab w:val="center" w:pos="4153"/>
        <w:tab w:val="right" w:pos="8306"/>
      </w:tabs>
      <w:snapToGrid w:val="0"/>
      <w:jc w:val="left"/>
    </w:pPr>
    <w:rPr>
      <w:sz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sz w:val="24"/>
      <w:szCs w:val="24"/>
    </w:rPr>
  </w:style>
  <w:style w:type="paragraph" w:styleId="6">
    <w:name w:val="Body Text First Indent"/>
    <w:basedOn w:val="3"/>
    <w:autoRedefine/>
    <w:qFormat/>
    <w:uiPriority w:val="99"/>
    <w:pPr>
      <w:ind w:firstLine="420" w:firstLineChars="100"/>
    </w:pPr>
  </w:style>
  <w:style w:type="character" w:styleId="9">
    <w:name w:val="Strong"/>
    <w:autoRedefine/>
    <w:qFormat/>
    <w:uiPriority w:val="0"/>
    <w:rPr>
      <w:b/>
      <w:bCs/>
    </w:rPr>
  </w:style>
  <w:style w:type="paragraph" w:customStyle="1" w:styleId="10">
    <w:name w:val="正文首行缩进 21"/>
    <w:basedOn w:val="1"/>
    <w:autoRedefine/>
    <w:qFormat/>
    <w:uiPriority w:val="0"/>
    <w:pPr>
      <w:ind w:left="200" w:leftChars="200" w:firstLine="200" w:firstLineChars="200"/>
    </w:pPr>
    <w:rPr>
      <w:rFonts w:eastAsia="仿宋_GB2312"/>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4258</Words>
  <Characters>4382</Characters>
  <Lines>0</Lines>
  <Paragraphs>0</Paragraphs>
  <TotalTime>26</TotalTime>
  <ScaleCrop>false</ScaleCrop>
  <LinksUpToDate>false</LinksUpToDate>
  <CharactersWithSpaces>4384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2022-01-12T14:26:00Z</dcterms:created>
  <dc:creator>zwh</dc:creator>
  <cp:lastModifiedBy>Jade</cp:lastModifiedBy>
  <dcterms:modified xsi:type="dcterms:W3CDTF">2025-01-23T07:51:52Z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D3C7FFC8A80E4C94B079F03223113CAE</vt:lpwstr>
  </property>
  <property fmtid="{D5CDD505-2E9C-101B-9397-08002B2CF9AE}" pid="4" name="KSOTemplateDocerSaveRecord">
    <vt:lpwstr>eyJoZGlkIjoiOTExZjRmMTU2OTE0OTNjMjRjNTgyZTc4ODBjZTY2YWMiLCJ1c2VySWQiOiIyNTIzNjc5NjEifQ==</vt:lpwstr>
  </property>
</Properties>
</file>