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both"/>
        <w:rPr>
          <w:rFonts w:hint="eastAsia" w:ascii="华文中宋" w:hAnsi="华文中宋" w:eastAsia="华文中宋"/>
          <w:spacing w:val="20"/>
          <w:sz w:val="72"/>
          <w:szCs w:val="72"/>
          <w:lang w:val="en-US" w:eastAsia="zh-CN"/>
        </w:rPr>
      </w:pPr>
      <w:bookmarkStart w:id="0" w:name="_Toc24724711"/>
    </w:p>
    <w:p>
      <w:pPr>
        <w:spacing w:line="1520" w:lineRule="exact"/>
        <w:jc w:val="center"/>
        <w:rPr>
          <w:rFonts w:hint="eastAsia" w:ascii="华文中宋" w:hAnsi="华文中宋" w:eastAsia="华文中宋"/>
          <w:spacing w:val="20"/>
          <w:sz w:val="72"/>
          <w:szCs w:val="72"/>
          <w:lang w:val="en-US" w:eastAsia="zh-CN"/>
        </w:rPr>
      </w:pPr>
    </w:p>
    <w:p>
      <w:pPr>
        <w:spacing w:line="1520" w:lineRule="exact"/>
        <w:jc w:val="center"/>
        <w:rPr>
          <w:rFonts w:hint="eastAsia" w:ascii="华文中宋" w:hAnsi="华文中宋" w:eastAsia="华文中宋"/>
          <w:spacing w:val="20"/>
          <w:sz w:val="72"/>
          <w:szCs w:val="72"/>
        </w:rPr>
      </w:pPr>
      <w:r>
        <w:rPr>
          <w:rFonts w:hint="eastAsia" w:ascii="华文中宋" w:hAnsi="华文中宋" w:eastAsia="华文中宋"/>
          <w:spacing w:val="20"/>
          <w:sz w:val="72"/>
          <w:szCs w:val="72"/>
          <w:lang w:val="en-US" w:eastAsia="zh-CN"/>
        </w:rPr>
        <w:t>曲阜市</w:t>
      </w:r>
      <w:r>
        <w:rPr>
          <w:rFonts w:hint="eastAsia" w:ascii="华文中宋" w:hAnsi="华文中宋" w:eastAsia="华文中宋"/>
          <w:spacing w:val="20"/>
          <w:sz w:val="72"/>
          <w:szCs w:val="72"/>
        </w:rPr>
        <w:t>安全生产领域</w:t>
      </w:r>
    </w:p>
    <w:p>
      <w:pPr>
        <w:spacing w:line="1520" w:lineRule="exact"/>
        <w:jc w:val="center"/>
        <w:rPr>
          <w:rFonts w:ascii="华文中宋" w:hAnsi="华文中宋" w:eastAsia="华文中宋" w:cs="Times New Roman"/>
          <w:spacing w:val="20"/>
          <w:sz w:val="52"/>
          <w:szCs w:val="52"/>
        </w:rPr>
      </w:pPr>
      <w:r>
        <w:rPr>
          <w:rFonts w:hint="eastAsia" w:ascii="华文中宋" w:hAnsi="华文中宋" w:eastAsia="华文中宋"/>
          <w:spacing w:val="20"/>
          <w:sz w:val="72"/>
          <w:szCs w:val="72"/>
        </w:rPr>
        <w:t>基层政务公开标准目录</w:t>
      </w:r>
      <w:bookmarkEnd w:id="0"/>
    </w:p>
    <w:p>
      <w:pPr>
        <w:jc w:val="both"/>
        <w:rPr>
          <w:rFonts w:ascii="Times New Roman" w:hAnsi="Times New Roman" w:eastAsia="方正小标宋_GBK" w:cs="Times New Roman"/>
          <w:sz w:val="28"/>
          <w:szCs w:val="28"/>
        </w:rPr>
      </w:pPr>
    </w:p>
    <w:p>
      <w:pPr>
        <w:jc w:val="both"/>
        <w:rPr>
          <w:rFonts w:ascii="Times New Roman" w:hAnsi="Times New Roman" w:eastAsia="方正小标宋_GBK" w:cs="Times New Roman"/>
          <w:sz w:val="28"/>
          <w:szCs w:val="28"/>
        </w:rPr>
      </w:pPr>
    </w:p>
    <w:p>
      <w:pPr>
        <w:rPr>
          <w:rFonts w:ascii="Times New Roman" w:hAnsi="Times New Roman" w:eastAsia="华文中宋" w:cs="Times New Roman"/>
          <w:sz w:val="48"/>
          <w:szCs w:val="48"/>
        </w:rPr>
      </w:pPr>
    </w:p>
    <w:p>
      <w:pPr>
        <w:jc w:val="center"/>
        <w:rPr>
          <w:rFonts w:hint="default" w:ascii="Times New Roman" w:hAnsi="Times New Roman" w:eastAsia="楷体" w:cs="Times New Roman"/>
        </w:rPr>
      </w:pPr>
      <w:r>
        <w:rPr>
          <w:rFonts w:hint="eastAsia" w:eastAsia="华文中宋"/>
          <w:sz w:val="48"/>
          <w:szCs w:val="48"/>
          <w:lang w:val="en-US" w:eastAsia="zh-CN"/>
        </w:rPr>
        <w:t xml:space="preserve"> </w:t>
      </w:r>
      <w:bookmarkStart w:id="1" w:name="_GoBack"/>
      <w:bookmarkEnd w:id="1"/>
      <w:r>
        <w:rPr>
          <w:rFonts w:hint="default" w:eastAsia="华文中宋"/>
          <w:sz w:val="48"/>
          <w:szCs w:val="48"/>
          <w:lang w:val="en-US" w:eastAsia="zh-CN"/>
        </w:rPr>
        <w:br w:type="page"/>
      </w:r>
    </w:p>
    <w:tbl>
      <w:tblPr>
        <w:tblStyle w:val="11"/>
        <w:tblW w:w="14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1170"/>
        <w:gridCol w:w="1226"/>
        <w:gridCol w:w="661"/>
        <w:gridCol w:w="723"/>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540" w:type="dxa"/>
            <w:vMerge w:val="restart"/>
            <w:vAlign w:val="center"/>
          </w:tcPr>
          <w:p>
            <w:pPr>
              <w:widowControl/>
              <w:jc w:val="center"/>
              <w:rPr>
                <w:rFonts w:ascii="仿宋_GB2312"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7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2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blHeader/>
          <w:jc w:val="center"/>
        </w:trPr>
        <w:tc>
          <w:tcPr>
            <w:tcW w:w="540" w:type="dxa"/>
            <w:vMerge w:val="continue"/>
            <w:vAlign w:val="center"/>
          </w:tcPr>
          <w:p>
            <w:pPr>
              <w:widowControl/>
              <w:jc w:val="center"/>
              <w:rPr>
                <w:rFonts w:ascii="仿宋_GB2312" w:eastAsia="仿宋_GB2312"/>
                <w:color w:val="000000"/>
                <w:kern w:val="0"/>
                <w:sz w:val="18"/>
                <w:szCs w:val="18"/>
              </w:rPr>
            </w:pP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170" w:type="dxa"/>
            <w:vMerge w:val="continue"/>
            <w:vAlign w:val="center"/>
          </w:tcPr>
          <w:p>
            <w:pPr>
              <w:widowControl/>
              <w:jc w:val="center"/>
              <w:rPr>
                <w:rFonts w:ascii="黑体" w:hAnsi="宋体" w:eastAsia="黑体" w:cs="宋体"/>
                <w:color w:val="000000"/>
                <w:kern w:val="0"/>
                <w:sz w:val="22"/>
              </w:rPr>
            </w:pPr>
          </w:p>
        </w:tc>
        <w:tc>
          <w:tcPr>
            <w:tcW w:w="1226" w:type="dxa"/>
            <w:vMerge w:val="continue"/>
            <w:vAlign w:val="center"/>
          </w:tcPr>
          <w:p>
            <w:pPr>
              <w:widowControl/>
              <w:jc w:val="left"/>
              <w:rPr>
                <w:rFonts w:ascii="黑体" w:hAnsi="宋体" w:eastAsia="黑体" w:cs="宋体"/>
                <w:kern w:val="0"/>
                <w:sz w:val="22"/>
              </w:rPr>
            </w:pPr>
          </w:p>
        </w:tc>
        <w:tc>
          <w:tcPr>
            <w:tcW w:w="66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70" w:type="dxa"/>
            <w:vAlign w:val="center"/>
          </w:tcPr>
          <w:p>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val="en-US" w:eastAsia="zh-CN"/>
              </w:rPr>
              <w:t>市应急局</w:t>
            </w:r>
          </w:p>
        </w:tc>
        <w:tc>
          <w:tcPr>
            <w:tcW w:w="1226" w:type="dxa"/>
            <w:vMerge w:val="restart"/>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Merge w:val="continue"/>
            <w:vAlign w:val="center"/>
          </w:tcPr>
          <w:p>
            <w:pPr>
              <w:spacing w:line="240" w:lineRule="exact"/>
              <w:jc w:val="left"/>
              <w:rPr>
                <w:rFonts w:ascii="仿宋_GB2312" w:eastAsia="仿宋_GB2312"/>
                <w:sz w:val="18"/>
                <w:szCs w:val="18"/>
              </w:rPr>
            </w:pP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Merge w:val="continue"/>
            <w:vAlign w:val="center"/>
          </w:tcPr>
          <w:p>
            <w:pPr>
              <w:spacing w:line="240" w:lineRule="exact"/>
              <w:jc w:val="left"/>
              <w:rPr>
                <w:rFonts w:ascii="仿宋_GB2312" w:eastAsia="仿宋_GB2312"/>
                <w:sz w:val="18"/>
                <w:szCs w:val="18"/>
              </w:rPr>
            </w:pP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Merge w:val="continue"/>
            <w:vAlign w:val="center"/>
          </w:tcPr>
          <w:p>
            <w:pPr>
              <w:spacing w:line="240" w:lineRule="exact"/>
              <w:jc w:val="left"/>
              <w:rPr>
                <w:rFonts w:ascii="仿宋_GB2312" w:eastAsia="仿宋_GB2312"/>
                <w:sz w:val="18"/>
                <w:szCs w:val="18"/>
              </w:rPr>
            </w:pP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■公开查阅点 </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vAlign w:val="top"/>
          </w:tcPr>
          <w:p>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jc w:val="lef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重要会议</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vAlign w:val="top"/>
          </w:tcPr>
          <w:p>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提前一周发通知邀请</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■便民服务站</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vAlign w:val="top"/>
          </w:tcPr>
          <w:p>
            <w:r>
              <w:rPr>
                <w:rFonts w:hint="eastAsia" w:ascii="仿宋_GB2312" w:eastAsia="仿宋_GB2312"/>
                <w:bCs/>
                <w:color w:val="000000"/>
                <w:sz w:val="18"/>
                <w:szCs w:val="18"/>
              </w:rPr>
              <w:t>《政府信息公开条例》、《关于全面推进政务公开工作的意见》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■公开查阅点 </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■两微一端   ■公开查阅点 ■政务服务中心</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■广播电视   ■公开查阅点</w:t>
            </w:r>
          </w:p>
          <w:p>
            <w:pPr>
              <w:spacing w:line="240" w:lineRule="exact"/>
              <w:jc w:val="left"/>
              <w:rPr>
                <w:rFonts w:ascii="仿宋_GB2312" w:eastAsia="仿宋_GB2312"/>
                <w:sz w:val="18"/>
                <w:szCs w:val="18"/>
              </w:rPr>
            </w:pPr>
            <w:r>
              <w:rPr>
                <w:rFonts w:hint="eastAsia" w:ascii="仿宋_GB2312" w:eastAsia="仿宋_GB2312"/>
                <w:sz w:val="18"/>
                <w:szCs w:val="18"/>
              </w:rPr>
              <w:t>■公示栏</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p>
            <w:pPr>
              <w:spacing w:line="240" w:lineRule="exact"/>
              <w:jc w:val="left"/>
              <w:rPr>
                <w:rFonts w:ascii="仿宋_GB2312" w:eastAsia="仿宋_GB2312"/>
                <w:sz w:val="18"/>
                <w:szCs w:val="18"/>
              </w:rPr>
            </w:pPr>
            <w:r>
              <w:rPr>
                <w:rFonts w:hint="eastAsia" w:ascii="仿宋_GB2312" w:eastAsia="仿宋_GB2312"/>
                <w:sz w:val="18"/>
                <w:szCs w:val="18"/>
              </w:rPr>
              <w:t>■公示栏</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5"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vAlign w:val="center"/>
          </w:tcPr>
          <w:p>
            <w:pPr>
              <w:jc w:val="left"/>
              <w:rPr>
                <w:rFonts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■其他</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p>
          <w:p>
            <w:pPr>
              <w:spacing w:line="240" w:lineRule="exact"/>
              <w:jc w:val="left"/>
              <w:rPr>
                <w:rFonts w:ascii="仿宋_GB2312" w:eastAsia="仿宋_GB2312"/>
                <w:sz w:val="18"/>
                <w:szCs w:val="18"/>
              </w:rPr>
            </w:pPr>
            <w:r>
              <w:rPr>
                <w:rFonts w:hint="eastAsia" w:ascii="仿宋_GB2312" w:eastAsia="仿宋_GB2312"/>
                <w:sz w:val="18"/>
                <w:szCs w:val="18"/>
              </w:rPr>
              <w:t>■便民服务站 ■入户/现场</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■精准推送   ■其他</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Merge w:val="continue"/>
            <w:vAlign w:val="center"/>
          </w:tcPr>
          <w:p>
            <w:pPr>
              <w:rPr>
                <w:rFonts w:ascii="仿宋_GB2312" w:hAnsi="宋体" w:eastAsia="仿宋_GB2312" w:cs="宋体"/>
                <w:color w:val="000000"/>
                <w:sz w:val="18"/>
                <w:szCs w:val="18"/>
              </w:rPr>
            </w:pP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年度报告</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2520" w:type="dxa"/>
            <w:vAlign w:val="center"/>
          </w:tcPr>
          <w:p>
            <w:pPr>
              <w:rPr>
                <w:rFonts w:ascii="仿宋_GB2312" w:eastAsia="仿宋_GB2312"/>
                <w:bCs/>
                <w:sz w:val="18"/>
                <w:szCs w:val="18"/>
              </w:rPr>
            </w:pPr>
            <w:r>
              <w:rPr>
                <w:rFonts w:hint="eastAsia" w:ascii="仿宋_GB2312" w:eastAsia="仿宋_GB2312"/>
                <w:bCs/>
                <w:sz w:val="18"/>
                <w:szCs w:val="18"/>
              </w:rPr>
              <w:t>预算、决算</w:t>
            </w:r>
          </w:p>
          <w:p>
            <w:pPr>
              <w:rPr>
                <w:rFonts w:ascii="仿宋_GB2312" w:eastAsia="仿宋_GB2312"/>
                <w:bCs/>
                <w:sz w:val="18"/>
                <w:szCs w:val="18"/>
              </w:rPr>
            </w:pPr>
            <w:r>
              <w:rPr>
                <w:rFonts w:hint="eastAsia" w:ascii="仿宋_GB2312" w:eastAsia="仿宋_GB2312"/>
                <w:bCs/>
                <w:sz w:val="18"/>
                <w:szCs w:val="18"/>
              </w:rPr>
              <w:t xml:space="preserve"> “三公”经费</w:t>
            </w:r>
          </w:p>
          <w:p>
            <w:pP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117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Merge w:val="restart"/>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spacing w:line="24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spacing w:line="24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spacing w:line="24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pPr>
              <w:spacing w:line="240" w:lineRule="exact"/>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vAlign w:val="center"/>
          </w:tcPr>
          <w:p>
            <w:pPr>
              <w:spacing w:line="240" w:lineRule="exact"/>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vAlign w:val="center"/>
          </w:tcPr>
          <w:p>
            <w:pPr>
              <w:spacing w:line="240" w:lineRule="exact"/>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vAlign w:val="center"/>
          </w:tcPr>
          <w:p>
            <w:pPr>
              <w:spacing w:line="240" w:lineRule="exact"/>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1170" w:type="dxa"/>
            <w:vAlign w:val="center"/>
          </w:tcPr>
          <w:p>
            <w:pPr>
              <w:spacing w:line="240" w:lineRule="exact"/>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Merge w:val="continue"/>
            <w:vAlign w:val="center"/>
          </w:tcPr>
          <w:p>
            <w:pPr>
              <w:spacing w:line="240" w:lineRule="exact"/>
              <w:rPr>
                <w:rFonts w:ascii="仿宋_GB2312" w:hAnsi="宋体" w:eastAsia="仿宋_GB2312" w:cs="宋体"/>
                <w:color w:val="000000"/>
                <w:sz w:val="18"/>
                <w:szCs w:val="18"/>
              </w:rPr>
            </w:pPr>
          </w:p>
        </w:tc>
        <w:tc>
          <w:tcPr>
            <w:tcW w:w="1080" w:type="dxa"/>
            <w:vAlign w:val="center"/>
          </w:tcPr>
          <w:p>
            <w:pPr>
              <w:spacing w:line="240" w:lineRule="exact"/>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vAlign w:val="center"/>
          </w:tcPr>
          <w:p>
            <w:pPr>
              <w:spacing w:line="240" w:lineRule="exact"/>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vAlign w:val="center"/>
          </w:tcPr>
          <w:p>
            <w:pPr>
              <w:spacing w:line="240" w:lineRule="exact"/>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spacing w:line="240" w:lineRule="exact"/>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1170" w:type="dxa"/>
            <w:vAlign w:val="center"/>
          </w:tcPr>
          <w:p>
            <w:pPr>
              <w:spacing w:line="240" w:lineRule="exact"/>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Merge w:val="restart"/>
            <w:vAlign w:val="center"/>
          </w:tcPr>
          <w:p>
            <w:pPr>
              <w:spacing w:line="24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spacing w:line="24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spacing w:line="24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spacing w:line="240" w:lineRule="exact"/>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pPr>
              <w:spacing w:line="240" w:lineRule="exact"/>
              <w:rPr>
                <w:rFonts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vAlign w:val="center"/>
          </w:tcPr>
          <w:p>
            <w:pPr>
              <w:spacing w:line="240" w:lineRule="exact"/>
              <w:rPr>
                <w:rFonts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vAlign w:val="center"/>
          </w:tcPr>
          <w:p>
            <w:pPr>
              <w:spacing w:line="240" w:lineRule="exact"/>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800" w:type="dxa"/>
            <w:vAlign w:val="center"/>
          </w:tcPr>
          <w:p>
            <w:pPr>
              <w:spacing w:line="240" w:lineRule="exact"/>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1170" w:type="dxa"/>
            <w:vAlign w:val="center"/>
          </w:tcPr>
          <w:p>
            <w:pPr>
              <w:spacing w:line="240" w:lineRule="exact"/>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Merge w:val="continue"/>
            <w:vAlign w:val="center"/>
          </w:tcPr>
          <w:p>
            <w:pPr>
              <w:spacing w:line="240" w:lineRule="exact"/>
              <w:rPr>
                <w:rFonts w:ascii="仿宋_GB2312" w:hAnsi="宋体" w:eastAsia="仿宋_GB2312" w:cs="宋体"/>
                <w:color w:val="000000"/>
                <w:sz w:val="18"/>
                <w:szCs w:val="18"/>
              </w:rPr>
            </w:pPr>
          </w:p>
        </w:tc>
        <w:tc>
          <w:tcPr>
            <w:tcW w:w="1080" w:type="dxa"/>
            <w:vAlign w:val="center"/>
          </w:tcPr>
          <w:p>
            <w:pPr>
              <w:spacing w:line="240" w:lineRule="exact"/>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vAlign w:val="center"/>
          </w:tcPr>
          <w:p>
            <w:pPr>
              <w:spacing w:line="240" w:lineRule="exact"/>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vAlign w:val="center"/>
          </w:tcPr>
          <w:p>
            <w:pPr>
              <w:spacing w:line="240" w:lineRule="exact"/>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pPr>
              <w:spacing w:line="240" w:lineRule="exact"/>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1170" w:type="dxa"/>
            <w:vAlign w:val="center"/>
          </w:tcPr>
          <w:p>
            <w:pPr>
              <w:spacing w:line="240" w:lineRule="exact"/>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900" w:type="dxa"/>
            <w:vMerge w:val="continue"/>
            <w:vAlign w:val="center"/>
          </w:tcPr>
          <w:p>
            <w:pPr>
              <w:spacing w:line="240" w:lineRule="exact"/>
              <w:rPr>
                <w:rFonts w:ascii="仿宋_GB2312" w:hAnsi="宋体" w:eastAsia="仿宋_GB2312" w:cs="宋体"/>
                <w:color w:val="000000"/>
                <w:sz w:val="18"/>
                <w:szCs w:val="18"/>
              </w:rPr>
            </w:pPr>
          </w:p>
        </w:tc>
        <w:tc>
          <w:tcPr>
            <w:tcW w:w="1080" w:type="dxa"/>
            <w:vAlign w:val="center"/>
          </w:tcPr>
          <w:p>
            <w:pPr>
              <w:spacing w:line="240" w:lineRule="exact"/>
              <w:rPr>
                <w:rFonts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vAlign w:val="center"/>
          </w:tcPr>
          <w:p>
            <w:pPr>
              <w:spacing w:line="240" w:lineRule="exact"/>
              <w:rPr>
                <w:rFonts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spacing w:line="240" w:lineRule="exact"/>
              <w:rPr>
                <w:rFonts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spacing w:line="240" w:lineRule="exact"/>
              <w:rPr>
                <w:rFonts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vAlign w:val="center"/>
          </w:tcPr>
          <w:p>
            <w:pPr>
              <w:spacing w:line="240" w:lineRule="exact"/>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800" w:type="dxa"/>
            <w:vAlign w:val="center"/>
          </w:tcPr>
          <w:p>
            <w:pPr>
              <w:spacing w:line="240" w:lineRule="exact"/>
              <w:rPr>
                <w:rFonts w:ascii="仿宋_GB2312" w:hAnsi="宋体" w:eastAsia="仿宋_GB2312" w:cs="宋体"/>
                <w:bCs/>
                <w:sz w:val="18"/>
                <w:szCs w:val="18"/>
              </w:rPr>
            </w:pPr>
            <w:r>
              <w:rPr>
                <w:rFonts w:hint="eastAsia" w:ascii="仿宋_GB2312" w:eastAsia="仿宋_GB2312"/>
                <w:bCs/>
                <w:sz w:val="18"/>
                <w:szCs w:val="18"/>
              </w:rPr>
              <w:t>按照中央有关要求公开</w:t>
            </w:r>
          </w:p>
        </w:tc>
        <w:tc>
          <w:tcPr>
            <w:tcW w:w="1170" w:type="dxa"/>
            <w:vAlign w:val="center"/>
          </w:tcPr>
          <w:p>
            <w:pPr>
              <w:spacing w:line="240" w:lineRule="exact"/>
              <w:jc w:val="center"/>
              <w:rPr>
                <w:rFonts w:ascii="仿宋_GB2312" w:hAnsi="宋体" w:eastAsia="仿宋_GB2312" w:cs="宋体"/>
                <w:bCs/>
                <w:sz w:val="18"/>
                <w:szCs w:val="18"/>
              </w:rPr>
            </w:pPr>
            <w:r>
              <w:rPr>
                <w:rFonts w:hint="eastAsia" w:ascii="仿宋_GB2312" w:eastAsia="仿宋_GB2312"/>
                <w:bCs/>
                <w:sz w:val="18"/>
                <w:szCs w:val="18"/>
                <w:lang w:val="en-US" w:eastAsia="zh-CN"/>
              </w:rPr>
              <w:t>市应急局</w:t>
            </w:r>
          </w:p>
        </w:tc>
        <w:tc>
          <w:tcPr>
            <w:tcW w:w="1226" w:type="dxa"/>
            <w:vAlign w:val="center"/>
          </w:tcPr>
          <w:p>
            <w:pPr>
              <w:spacing w:line="240" w:lineRule="exact"/>
              <w:jc w:val="left"/>
              <w:rPr>
                <w:rFonts w:ascii="仿宋_GB2312" w:hAnsi="宋体" w:eastAsia="仿宋_GB2312" w:cs="宋体"/>
                <w:bCs/>
                <w:sz w:val="18"/>
                <w:szCs w:val="18"/>
              </w:rPr>
            </w:pPr>
            <w:r>
              <w:rPr>
                <w:rFonts w:hint="eastAsia" w:ascii="仿宋_GB2312" w:eastAsia="仿宋_GB2312"/>
                <w:sz w:val="18"/>
                <w:szCs w:val="18"/>
              </w:rPr>
              <w:t>■政府网站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tc>
        <w:tc>
          <w:tcPr>
            <w:tcW w:w="661"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3" w:type="dxa"/>
            <w:vAlign w:val="center"/>
          </w:tcPr>
          <w:p>
            <w:pPr>
              <w:jc w:val="cente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bl>
    <w:p>
      <w:pPr>
        <w:spacing w:line="640" w:lineRule="exact"/>
        <w:rPr>
          <w:rFonts w:ascii="仿宋_GB2312" w:eastAsia="仿宋_GB2312"/>
          <w:sz w:val="32"/>
          <w:szCs w:val="32"/>
        </w:rPr>
      </w:pPr>
    </w:p>
    <w:sectPr>
      <w:footerReference r:id="rId3" w:type="default"/>
      <w:footerReference r:id="rId4" w:type="even"/>
      <w:type w:val="continuous"/>
      <w:pgSz w:w="16838" w:h="11906" w:orient="landscape"/>
      <w:pgMar w:top="1134" w:right="1418"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305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310</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7BB64B1"/>
    <w:rsid w:val="2B22683A"/>
    <w:rsid w:val="2CBF0533"/>
    <w:rsid w:val="3D3F41ED"/>
    <w:rsid w:val="DF6F3D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rFonts w:ascii="Calibri" w:hAnsi="Calibri"/>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qFormat/>
    <w:uiPriority w:val="0"/>
    <w:pPr>
      <w:jc w:val="left"/>
    </w:pPr>
    <w:rPr>
      <w:rFonts w:ascii="Calibri" w:hAnsi="Calibri"/>
      <w:szCs w:val="22"/>
    </w:rPr>
  </w:style>
  <w:style w:type="paragraph" w:styleId="4">
    <w:name w:val="Date"/>
    <w:basedOn w:val="1"/>
    <w:next w:val="1"/>
    <w:link w:val="24"/>
    <w:qFormat/>
    <w:uiPriority w:val="0"/>
    <w:pPr>
      <w:ind w:left="100" w:leftChars="2500"/>
    </w:pPr>
  </w:style>
  <w:style w:type="paragraph" w:styleId="5">
    <w:name w:val="Balloon Text"/>
    <w:basedOn w:val="1"/>
    <w:link w:val="27"/>
    <w:qFormat/>
    <w:uiPriority w:val="0"/>
    <w:rPr>
      <w:rFonts w:ascii="Calibri" w:hAnsi="Calibri"/>
      <w:sz w:val="18"/>
      <w:szCs w:val="18"/>
    </w:rPr>
  </w:style>
  <w:style w:type="paragraph" w:styleId="6">
    <w:name w:val="footer"/>
    <w:basedOn w:val="1"/>
    <w:link w:val="22"/>
    <w:qFormat/>
    <w:uiPriority w:val="0"/>
    <w:pPr>
      <w:tabs>
        <w:tab w:val="center" w:pos="4153"/>
        <w:tab w:val="right" w:pos="8306"/>
      </w:tabs>
      <w:snapToGrid w:val="0"/>
      <w:jc w:val="left"/>
    </w:pPr>
    <w:rPr>
      <w:sz w:val="18"/>
      <w:szCs w:val="18"/>
    </w:rPr>
  </w:style>
  <w:style w:type="paragraph" w:styleId="7">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14760"/>
      </w:tabs>
      <w:spacing w:line="700" w:lineRule="exact"/>
      <w:ind w:left="359" w:leftChars="171" w:right="332" w:rightChars="158"/>
    </w:pPr>
    <w:rPr>
      <w:rFonts w:ascii="Calibri" w:hAnsi="Calibri"/>
      <w:szCs w:val="22"/>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6"/>
    <w:qFormat/>
    <w:uiPriority w:val="0"/>
    <w:rPr>
      <w:b/>
      <w:bCs/>
    </w:rPr>
  </w:style>
  <w:style w:type="character" w:styleId="13">
    <w:name w:val="Strong"/>
    <w:qFormat/>
    <w:uiPriority w:val="0"/>
    <w:rPr>
      <w:b/>
      <w:bCs/>
    </w:rPr>
  </w:style>
  <w:style w:type="character" w:styleId="14">
    <w:name w:val="page number"/>
    <w:basedOn w:val="12"/>
    <w:qFormat/>
    <w:uiPriority w:val="0"/>
  </w:style>
  <w:style w:type="character" w:styleId="15">
    <w:name w:val="FollowedHyperlink"/>
    <w:qFormat/>
    <w:uiPriority w:val="0"/>
    <w:rPr>
      <w:color w:val="800080"/>
      <w:u w:val="single"/>
    </w:rPr>
  </w:style>
  <w:style w:type="character" w:styleId="16">
    <w:name w:val="HTML Acronym"/>
    <w:basedOn w:val="12"/>
    <w:qFormat/>
    <w:uiPriority w:val="0"/>
  </w:style>
  <w:style w:type="character" w:styleId="17">
    <w:name w:val="Hyperlink"/>
    <w:qFormat/>
    <w:uiPriority w:val="0"/>
    <w:rPr>
      <w:color w:val="0000FF"/>
      <w:u w:val="single"/>
    </w:rPr>
  </w:style>
  <w:style w:type="paragraph" w:customStyle="1" w:styleId="18">
    <w:name w:val="列出段落1"/>
    <w:basedOn w:val="1"/>
    <w:qFormat/>
    <w:uiPriority w:val="0"/>
    <w:pPr>
      <w:ind w:firstLine="420" w:firstLineChars="200"/>
    </w:pPr>
    <w:rPr>
      <w:rFonts w:ascii="Calibri" w:hAnsi="Calibri"/>
      <w:szCs w:val="22"/>
    </w:rPr>
  </w:style>
  <w:style w:type="paragraph" w:customStyle="1" w:styleId="19">
    <w:name w:val="List Paragraph"/>
    <w:basedOn w:val="1"/>
    <w:qFormat/>
    <w:uiPriority w:val="0"/>
    <w:pPr>
      <w:ind w:firstLine="420" w:firstLineChars="200"/>
    </w:pPr>
    <w:rPr>
      <w:rFonts w:ascii="等线" w:hAnsi="等线" w:eastAsia="等线"/>
      <w:szCs w:val="22"/>
    </w:rPr>
  </w:style>
  <w:style w:type="paragraph" w:customStyle="1" w:styleId="20">
    <w:name w:val="_Style 2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link w:val="2"/>
    <w:qFormat/>
    <w:uiPriority w:val="0"/>
    <w:rPr>
      <w:rFonts w:ascii="Calibri" w:hAnsi="Calibri"/>
      <w:b/>
      <w:bCs/>
      <w:kern w:val="44"/>
      <w:sz w:val="44"/>
      <w:szCs w:val="44"/>
    </w:rPr>
  </w:style>
  <w:style w:type="character" w:customStyle="1" w:styleId="22">
    <w:name w:val="页脚 字符"/>
    <w:link w:val="6"/>
    <w:qFormat/>
    <w:uiPriority w:val="99"/>
    <w:rPr>
      <w:kern w:val="2"/>
      <w:sz w:val="18"/>
      <w:szCs w:val="18"/>
    </w:rPr>
  </w:style>
  <w:style w:type="character" w:customStyle="1" w:styleId="23">
    <w:name w:val="页眉 字符"/>
    <w:link w:val="7"/>
    <w:qFormat/>
    <w:uiPriority w:val="0"/>
    <w:rPr>
      <w:kern w:val="2"/>
      <w:sz w:val="18"/>
      <w:szCs w:val="18"/>
    </w:rPr>
  </w:style>
  <w:style w:type="character" w:customStyle="1" w:styleId="24">
    <w:name w:val="日期 字符"/>
    <w:link w:val="4"/>
    <w:qFormat/>
    <w:uiPriority w:val="0"/>
    <w:rPr>
      <w:kern w:val="2"/>
      <w:sz w:val="21"/>
      <w:szCs w:val="24"/>
    </w:rPr>
  </w:style>
  <w:style w:type="character" w:customStyle="1" w:styleId="25">
    <w:name w:val="批注文字 字符"/>
    <w:link w:val="3"/>
    <w:qFormat/>
    <w:uiPriority w:val="0"/>
    <w:rPr>
      <w:rFonts w:ascii="Calibri" w:hAnsi="Calibri"/>
      <w:kern w:val="2"/>
      <w:sz w:val="21"/>
      <w:szCs w:val="22"/>
    </w:rPr>
  </w:style>
  <w:style w:type="character" w:customStyle="1" w:styleId="26">
    <w:name w:val="批注主题 字符"/>
    <w:link w:val="10"/>
    <w:qFormat/>
    <w:uiPriority w:val="0"/>
    <w:rPr>
      <w:rFonts w:ascii="Calibri" w:hAnsi="Calibri"/>
      <w:b/>
      <w:bCs/>
      <w:kern w:val="2"/>
      <w:sz w:val="21"/>
      <w:szCs w:val="22"/>
    </w:rPr>
  </w:style>
  <w:style w:type="character" w:customStyle="1" w:styleId="27">
    <w:name w:val="批注框文本 字符"/>
    <w:link w:val="5"/>
    <w:qFormat/>
    <w:uiPriority w:val="0"/>
    <w:rPr>
      <w:rFonts w:ascii="Calibri" w:hAnsi="Calibri"/>
      <w:kern w:val="2"/>
      <w:sz w:val="18"/>
      <w:szCs w:val="18"/>
    </w:rPr>
  </w:style>
  <w:style w:type="character" w:customStyle="1" w:styleId="28">
    <w:name w:val="font"/>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16930</Words>
  <Characters>96506</Characters>
  <Lines>804</Lines>
  <Paragraphs>226</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2020-04-30T11:32:00Z</dcterms:created>
  <dc:creator>Administrator</dc:creator>
  <cp:lastModifiedBy>user</cp:lastModifiedBy>
  <cp:lastPrinted>2020-04-29T19:26:00Z</cp:lastPrinted>
  <dcterms:modified xsi:type="dcterms:W3CDTF">2022-06-29T09:47:26Z</dcterms:modified>
  <dc:title>聊城市人民政府办公室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