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ascii="΢���ź�" w:hAnsi="΢���ź�" w:eastAsia="΢���ź�" w:cs="΢���ź�"/>
          <w:b w:val="0"/>
          <w:i w:val="0"/>
          <w:caps w:val="0"/>
          <w:color w:val="333333"/>
          <w:spacing w:val="0"/>
          <w:sz w:val="22"/>
          <w:szCs w:val="22"/>
        </w:rPr>
      </w:pPr>
      <w:r>
        <w:rPr>
          <w:rFonts w:hint="default" w:ascii="΢���ź�" w:hAnsi="΢���ź�" w:eastAsia="΢���ź�" w:cs="΢���ź�"/>
          <w:b w:val="0"/>
          <w:i w:val="0"/>
          <w:caps w:val="0"/>
          <w:color w:val="FF0000"/>
          <w:spacing w:val="0"/>
          <w:sz w:val="22"/>
          <w:szCs w:val="22"/>
          <w:bdr w:val="none" w:color="auto" w:sz="0" w:space="0"/>
          <w:shd w:val="clear" w:fill="FFFFFF"/>
        </w:rPr>
        <w:t>财政部关于统一地方教育附加政策有关问题的通知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default" w:ascii="΢���ź�" w:hAnsi="΢���ź�" w:eastAsia="΢���ź�" w:cs="΢���ź�"/>
          <w:b w:val="0"/>
          <w:i w:val="0"/>
          <w:caps w:val="0"/>
          <w:color w:val="333333"/>
          <w:spacing w:val="0"/>
          <w:sz w:val="22"/>
          <w:szCs w:val="22"/>
        </w:rPr>
      </w:pPr>
      <w:r>
        <w:rPr>
          <w:rFonts w:hint="default" w:ascii="΢���ź�" w:hAnsi="΢���ź�" w:eastAsia="΢���ź�" w:cs="΢���ź�"/>
          <w:b w:val="0"/>
          <w:i w:val="0"/>
          <w:caps w:val="0"/>
          <w:color w:val="0000FF"/>
          <w:spacing w:val="0"/>
          <w:sz w:val="22"/>
          <w:szCs w:val="22"/>
          <w:bdr w:val="none" w:color="auto" w:sz="0" w:space="0"/>
          <w:shd w:val="clear" w:fill="FFFFFF"/>
        </w:rPr>
        <w:t>财综[2010]98号 </w:t>
      </w:r>
      <w:r>
        <w:rPr>
          <w:rFonts w:hint="default" w:ascii="΢���ź�" w:hAnsi="΢���ź�" w:eastAsia="΢���ź�" w:cs="΢���ź�"/>
          <w:b w:val="0"/>
          <w:i w:val="0"/>
          <w:caps w:val="0"/>
          <w:color w:val="333333"/>
          <w:spacing w:val="0"/>
          <w:sz w:val="22"/>
          <w:szCs w:val="22"/>
          <w:bdr w:val="none" w:color="auto" w:sz="0" w:space="0"/>
          <w:shd w:val="clear" w:fill="FFFFFF"/>
        </w:rPr>
        <w:t>     2010-11-07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各省、自治区、直辖市财政厅(局)，新疆生产建设兵团财务局：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为贯彻落实《国家中长期教育改革和发展规划纲要(2010-2020年)》，进一步规范和拓宽财政性教育经费筹资渠道，支持地方教育事业发展，根据国务院有关工作部署和具体要求，现就统一地方教育附加政策有关事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一、统一开征地方教育附加。尚未开征地方教育附加的省份，省级财政部门应按照《教育法》的规定，根据本地区实际情况尽快研究制定开征地方教育附加的方案，报省级人民政府同意后，由省级人民政府于2010年12月31日前报财政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二、统一地方教育附加征收标准。地方教育附加征收标准统一为单位和个人(包括外商投资企业、外国企业及外籍个人)实际缴纳的增值税、营业税和消费税税额的2%。已经财政部审批且征收标准低于2%的省份，应将地方教育附加的征收标准调整为2%，调整征收标准的方案由省级人民政府于2010年12月31日前报财政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三、各省、自治区、直辖市财政部门要严格按照《教育法》规定和财政部批复意见，采取有效措施，切实加强地方教育附加征收使用管理，确保基金应收尽收，专项用于发展教育事业，不得从地方教育附加中提取或列支征收或代征手续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四、凡未经财政部或国务院批准，擅自多征、减征、缓征、停征，或者侵占、截留、挪用地方教育附加的，要依照《</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"https://www.shui5.cn/article/a2/3818.html"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5"/>
          <w:rFonts w:hint="default" w:ascii="΢���ź�" w:hAnsi="΢���ź�" w:eastAsia="΢���ź�" w:cs="΢���ź�"/>
          <w:b w:val="0"/>
          <w:i w:val="0"/>
          <w:caps w:val="0"/>
          <w:color w:val="FF0000"/>
          <w:spacing w:val="0"/>
          <w:sz w:val="22"/>
          <w:szCs w:val="22"/>
          <w:u w:val="none"/>
          <w:bdr w:val="none" w:color="auto" w:sz="0" w:space="0"/>
          <w:shd w:val="clear" w:fill="FFFFFF"/>
        </w:rPr>
        <w:t>财政违法行为处罚处分条例</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"https://www.shui5.cn/article/a2/3818.html"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5"/>
          <w:rFonts w:hint="default" w:ascii="΢���ź�" w:hAnsi="΢���ź�" w:eastAsia="΢���ź�" w:cs="΢���ź�"/>
          <w:b w:val="0"/>
          <w:i w:val="0"/>
          <w:caps w:val="0"/>
          <w:color w:val="0000FF"/>
          <w:spacing w:val="0"/>
          <w:sz w:val="22"/>
          <w:szCs w:val="22"/>
          <w:u w:val="none"/>
          <w:bdr w:val="none" w:color="auto" w:sz="0" w:space="0"/>
          <w:shd w:val="clear" w:fill="FFFFFF"/>
        </w:rPr>
        <w:t>国务院令第427号</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)和《</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"https://www.shui5.cn/article/eb/23695.html"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5"/>
          <w:rFonts w:hint="default" w:ascii="΢���ź�" w:hAnsi="΢���ź�" w:eastAsia="΢���ź�" w:cs="΢���ź�"/>
          <w:b w:val="0"/>
          <w:i w:val="0"/>
          <w:caps w:val="0"/>
          <w:color w:val="FF0000"/>
          <w:spacing w:val="0"/>
          <w:sz w:val="22"/>
          <w:szCs w:val="22"/>
          <w:u w:val="none"/>
          <w:bdr w:val="none" w:color="auto" w:sz="0" w:space="0"/>
          <w:shd w:val="clear" w:fill="FFFFFF"/>
        </w:rPr>
        <w:t>违反行政事业性收费和罚没收入收支两条线管理规定行政处分暂行规定</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"https://www.shui5.cn/article/eb/23695.html"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5"/>
          <w:rFonts w:hint="default" w:ascii="΢���ź�" w:hAnsi="΢���ź�" w:eastAsia="΢���ź�" w:cs="΢���ź�"/>
          <w:b w:val="0"/>
          <w:i w:val="0"/>
          <w:caps w:val="0"/>
          <w:color w:val="0000FF"/>
          <w:spacing w:val="0"/>
          <w:sz w:val="22"/>
          <w:szCs w:val="22"/>
          <w:u w:val="none"/>
          <w:bdr w:val="none" w:color="auto" w:sz="0" w:space="0"/>
          <w:shd w:val="clear" w:fill="FFFFFF"/>
        </w:rPr>
        <w:t>国务院令第281号</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)追究责任人的行政责任;构成犯罪的，依法追究刑事责任。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ź�">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66A0A"/>
    <w:rsid w:val="45B66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2022-11-25T09:54:00Z</dcterms:created>
  <dc:creator>Administrator</dc:creator>
  <cp:lastModifiedBy>Administrator</cp:lastModifiedBy>
  <dcterms:modified xsi:type="dcterms:W3CDTF">2022-11-25T09:55:09Z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