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795" w:rsidRDefault="00DC6AD2" w:rsidP="00370795">
      <w:pPr>
        <w:adjustRightInd w:val="0"/>
        <w:snapToGrid w:val="0"/>
        <w:spacing w:line="580" w:lineRule="exact"/>
        <w:jc w:val="center"/>
        <w:textAlignment w:val="baseline"/>
        <w:rPr>
          <w:rFonts w:ascii="方正小标宋简体" w:eastAsia="方正小标宋简体" w:hAnsi="Times New Roman" w:cs="Times New Roman"/>
          <w:b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市</w:t>
      </w:r>
      <w:r w:rsidR="00276102" w:rsidRPr="00DC6AD2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投资促进局</w:t>
      </w:r>
    </w:p>
    <w:p w:rsidR="00276102" w:rsidRDefault="00370795" w:rsidP="00370795">
      <w:pPr>
        <w:adjustRightInd w:val="0"/>
        <w:snapToGrid w:val="0"/>
        <w:spacing w:line="580" w:lineRule="exact"/>
        <w:jc w:val="center"/>
        <w:textAlignment w:val="baseline"/>
        <w:rPr>
          <w:rFonts w:ascii="方正小标宋简体" w:eastAsia="方正小标宋简体" w:hAnsi="Times New Roman" w:cs="Times New Roman"/>
          <w:b/>
          <w:sz w:val="44"/>
          <w:szCs w:val="44"/>
        </w:rPr>
      </w:pPr>
      <w:r w:rsidRPr="00DC6AD2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201</w:t>
      </w:r>
      <w:r w:rsidR="00BA4C18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8</w:t>
      </w:r>
      <w:r w:rsidRPr="00DC6AD2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年</w:t>
      </w:r>
      <w:r w:rsidR="00276102" w:rsidRPr="00DC6AD2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政府信息公开</w:t>
      </w:r>
      <w:r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工作</w:t>
      </w:r>
      <w:r w:rsidR="00276102" w:rsidRPr="00DC6AD2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报告</w:t>
      </w:r>
    </w:p>
    <w:p w:rsidR="00370795" w:rsidRPr="00370795" w:rsidRDefault="00370795" w:rsidP="00370795">
      <w:pPr>
        <w:adjustRightInd w:val="0"/>
        <w:snapToGrid w:val="0"/>
        <w:spacing w:line="580" w:lineRule="exact"/>
        <w:jc w:val="center"/>
        <w:textAlignment w:val="baseline"/>
        <w:rPr>
          <w:rFonts w:ascii="方正小标宋简体" w:eastAsia="方正小标宋简体" w:hAnsi="Times New Roman" w:cs="Times New Roman"/>
          <w:b/>
          <w:sz w:val="44"/>
          <w:szCs w:val="44"/>
        </w:rPr>
      </w:pPr>
    </w:p>
    <w:p w:rsidR="00C25036" w:rsidRPr="00DC6AD2" w:rsidRDefault="00DC6AD2" w:rsidP="00370795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依</w:t>
      </w:r>
      <w:r w:rsidR="00BA4C18" w:rsidRPr="00BA4C18"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  <w:t>据《中华人民共和国政府信息公开条例》（以下简称《条例》）、《山东省政府信息公开办法》规定和《济宁市人民政府办公室关于做好</w:t>
      </w:r>
      <w:r w:rsidR="00BA4C18" w:rsidRPr="00BA4C18"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  <w:t>2018</w:t>
      </w:r>
      <w:r w:rsidR="00BA4C18" w:rsidRPr="00BA4C18"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  <w:t>年度政府信息公开年度报告编制发布工作的通知</w:t>
      </w:r>
      <w:r w:rsidR="00BA4C18" w:rsidRPr="00BA4C18"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  <w:t xml:space="preserve"> </w:t>
      </w:r>
      <w:r w:rsidR="00BA4C18" w:rsidRPr="00BA4C18"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  <w:t>》等有关文件要求，</w:t>
      </w:r>
      <w:r w:rsidR="00BA4C18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按照</w:t>
      </w:r>
      <w:r w:rsidR="00BA4C18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市委、市政府的</w:t>
      </w:r>
      <w:r w:rsidR="00BA4C18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部署安排，</w:t>
      </w:r>
      <w:r w:rsidR="00BA4C18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市投资促进局通过健全规范、高效、透明的政府信息公开工作机制，按照政府信息公开目录的内容，对单位重大活动、文件</w:t>
      </w:r>
      <w:r w:rsidR="00BA4C18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、督查</w:t>
      </w:r>
      <w:r w:rsidR="00BA4C18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等</w:t>
      </w:r>
      <w:r w:rsidR="00BA4C18" w:rsidRPr="00BA4C18"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  <w:t>事项</w:t>
      </w:r>
      <w:r w:rsidR="00BA4C18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进行公开</w:t>
      </w:r>
      <w:r w:rsidR="00C25036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，充分保障了</w:t>
      </w:r>
      <w:r w:rsidR="00BA4C18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人民群众</w:t>
      </w:r>
      <w:r w:rsidR="00C25036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对我市招商引资情况的知情权。</w:t>
      </w:r>
      <w:r w:rsidR="00F91F43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现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将主要工作</w:t>
      </w:r>
      <w:r w:rsidR="00F91F43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汇报如下：</w:t>
      </w:r>
    </w:p>
    <w:p w:rsidR="00C25036" w:rsidRPr="00DC6AD2" w:rsidRDefault="00DC6AD2" w:rsidP="00370795">
      <w:pPr>
        <w:adjustRightInd w:val="0"/>
        <w:snapToGrid w:val="0"/>
        <w:spacing w:line="560" w:lineRule="exact"/>
        <w:ind w:firstLineChars="196" w:firstLine="630"/>
        <w:textAlignment w:val="baseline"/>
        <w:rPr>
          <w:rFonts w:ascii="方正黑体简体" w:eastAsia="方正黑体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 w:rsidRPr="00DC6AD2">
        <w:rPr>
          <w:rFonts w:ascii="方正黑体简体" w:eastAsia="方正黑体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一、</w:t>
      </w:r>
      <w:r w:rsidR="00C25036" w:rsidRPr="00DC6AD2">
        <w:rPr>
          <w:rFonts w:ascii="方正黑体简体" w:eastAsia="方正黑体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组织领导情况和制度建设情况</w:t>
      </w:r>
    </w:p>
    <w:p w:rsidR="00F91F43" w:rsidRDefault="00F91F43" w:rsidP="00370795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一是</w:t>
      </w:r>
      <w:r w:rsidR="0030372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高度重视，加强组织</w:t>
      </w:r>
      <w:r w:rsidR="004D0C04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。</w:t>
      </w:r>
      <w:r w:rsidR="003D6C07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我局</w:t>
      </w:r>
      <w:r w:rsidR="00CF3A73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领导</w:t>
      </w:r>
      <w:r w:rsidR="003D6C07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班子十分重视</w:t>
      </w:r>
      <w:r w:rsidR="00BA4C18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政务公开</w:t>
      </w:r>
      <w:r w:rsidR="003D6C07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信息发布工作，</w:t>
      </w:r>
      <w:r w:rsidR="00BA4C18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召开了专题会议，制定了</w:t>
      </w:r>
      <w:r w:rsidR="00BA4C18" w:rsidRPr="00BA4C18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2018</w:t>
      </w:r>
      <w:r w:rsidR="00BA4C18" w:rsidRPr="00BA4C18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年政务公开业务培训计划</w:t>
      </w:r>
      <w:r w:rsidR="00BA4C18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、</w:t>
      </w:r>
      <w:r w:rsidR="00BA4C18" w:rsidRPr="00BA4C18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政务公开工作实施方案</w:t>
      </w:r>
      <w:r w:rsidR="00BA4C18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、</w:t>
      </w:r>
      <w:r w:rsidR="00BA4C18" w:rsidRPr="00BA4C18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办公会议议题</w:t>
      </w:r>
      <w:r w:rsidR="00BA4C18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重点</w:t>
      </w:r>
      <w:r w:rsidR="0030372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，成立了局</w:t>
      </w:r>
      <w:r w:rsidR="00303722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政府信息公开工作领导小组</w:t>
      </w:r>
      <w:r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。</w:t>
      </w:r>
      <w:r w:rsidR="00AE1C1D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由局长担任组长，分管副局长为副组长，各科室负责人为成员。领导小组办公室设在局办公室，具体负责组织</w:t>
      </w:r>
      <w:r w:rsidR="00112F5D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、协调政府信息公开的日常工作</w:t>
      </w:r>
      <w:r w:rsidR="005C041D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，</w:t>
      </w:r>
      <w:r w:rsidR="00AE1C1D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做到了有组织机构，有办公地点，有操作人员，保证了政府信息公开工作的正常运行。</w:t>
      </w:r>
    </w:p>
    <w:p w:rsidR="003D6C07" w:rsidRPr="00DC6AD2" w:rsidRDefault="00F91F43" w:rsidP="00370795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二是</w:t>
      </w:r>
      <w:r w:rsidR="004D0C04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明确信息发布职责。</w:t>
      </w:r>
      <w:r w:rsidR="003D6C07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明确了有关科室的工作职责，各科室主要负责人为政府信息公开的第一责任人，项目规划科具体负责信息公开的管理、审核、发布及网站维护等日常</w:t>
      </w:r>
      <w:r w:rsidR="003D6C07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lastRenderedPageBreak/>
        <w:t>业务，局办公室具体负责网络问政平台的维护，其它科室提供信息、提出建议并进行监督，积极协调和配合，初步形成了规范、</w:t>
      </w:r>
      <w:r w:rsidR="00EB6153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高效</w:t>
      </w:r>
      <w:r w:rsidR="005C041D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的工作</w:t>
      </w:r>
      <w:r w:rsidR="00EB6153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制度</w:t>
      </w:r>
      <w:r w:rsidR="003D6C07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。</w:t>
      </w:r>
    </w:p>
    <w:p w:rsidR="00F91F43" w:rsidRPr="00DC6AD2" w:rsidRDefault="007F6FDB" w:rsidP="00370795">
      <w:pPr>
        <w:adjustRightInd w:val="0"/>
        <w:snapToGrid w:val="0"/>
        <w:spacing w:line="560" w:lineRule="exact"/>
        <w:ind w:firstLineChars="196" w:firstLine="630"/>
        <w:textAlignment w:val="baseline"/>
        <w:rPr>
          <w:rFonts w:ascii="方正黑体简体" w:eastAsia="方正黑体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 w:rsidRPr="00DC6AD2">
        <w:rPr>
          <w:rFonts w:ascii="方正黑体简体" w:eastAsia="方正黑体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二、</w:t>
      </w:r>
      <w:r w:rsidR="00351F53" w:rsidRPr="00DC6AD2">
        <w:rPr>
          <w:rFonts w:ascii="方正黑体简体" w:eastAsia="方正黑体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信息公开基本措施</w:t>
      </w:r>
    </w:p>
    <w:p w:rsidR="00F91F43" w:rsidRPr="00DC6AD2" w:rsidRDefault="00F91F43" w:rsidP="00370795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一是</w:t>
      </w:r>
      <w:r w:rsidR="00351F53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积极拓展信息公开的方式和渠道。积极参与政风行风热线</w:t>
      </w:r>
      <w:r w:rsidR="00EB6153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，通过电话公开与百姓交流，积极</w:t>
      </w:r>
      <w:r w:rsidR="00351F53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回答人民群众对我市</w:t>
      </w:r>
      <w:r w:rsidR="00897EE3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招商引资</w:t>
      </w:r>
      <w:r w:rsidR="00351F53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工作的相关问询，耐心解答</w:t>
      </w:r>
      <w:r w:rsidR="00EB6153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企业发展需求；</w:t>
      </w:r>
      <w:r w:rsidR="00351F53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安排专人</w:t>
      </w:r>
      <w:r w:rsidR="00EB6153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时刻</w:t>
      </w:r>
      <w:r w:rsidR="00351F53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关注网络问政平台及政府信息公开网络的运作和日常维护，</w:t>
      </w:r>
      <w:r w:rsidR="00EB6153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注重</w:t>
      </w:r>
      <w:r w:rsidR="00351F53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百姓</w:t>
      </w:r>
      <w:r w:rsidR="00EB6153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提出的意见建议；</w:t>
      </w:r>
      <w:r w:rsidR="00351F53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通过市投资促进局网站（</w:t>
      </w:r>
      <w:r w:rsidR="00351F53" w:rsidRPr="00DC6AD2"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  <w:t>http://www.qfzs.gov.cn/</w:t>
      </w:r>
      <w:r w:rsidR="00351F53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）</w:t>
      </w:r>
      <w:r w:rsidR="00EB6153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、</w:t>
      </w:r>
      <w:proofErr w:type="gramStart"/>
      <w:r w:rsidR="00EB6153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微信公众号</w:t>
      </w:r>
      <w:proofErr w:type="gramEnd"/>
      <w:r w:rsidR="00897EE3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（曲阜市投资促进局）</w:t>
      </w:r>
      <w:r w:rsidR="00EB6153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、</w:t>
      </w:r>
      <w:r w:rsidR="00351F53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网络问政平台</w:t>
      </w:r>
      <w:r w:rsidR="00897EE3" w:rsidRPr="00897EE3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（</w:t>
      </w:r>
      <w:r w:rsidR="00897EE3" w:rsidRPr="00897EE3"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  <w:t>http:/</w:t>
      </w:r>
      <w:r w:rsidR="00897EE3"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  <w:t>/www.jining.gov.cn/jact/</w:t>
      </w:r>
      <w:r w:rsidR="00897EE3" w:rsidRPr="00897EE3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）</w:t>
      </w:r>
      <w:r w:rsidR="00351F53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等多个渠道及时发布公开信息</w:t>
      </w:r>
      <w:r w:rsidR="00EB6153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、</w:t>
      </w:r>
      <w:r w:rsidR="00351F53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招商引资重大项目进展情况</w:t>
      </w:r>
      <w:r w:rsidR="00EB6153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和</w:t>
      </w:r>
      <w:r w:rsidR="00351F53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招商工作动态等</w:t>
      </w:r>
      <w:r w:rsidR="00EB6153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信息</w:t>
      </w:r>
      <w:r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。</w:t>
      </w:r>
    </w:p>
    <w:p w:rsidR="00F91F43" w:rsidRPr="00DC6AD2" w:rsidRDefault="00F91F43" w:rsidP="00370795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二是</w:t>
      </w:r>
      <w:r w:rsidR="00EB6153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加大</w:t>
      </w:r>
      <w:r w:rsidR="00351F53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信息公开内容。</w:t>
      </w:r>
      <w:r w:rsidR="00EB6153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在发布</w:t>
      </w:r>
      <w:r w:rsidR="00351F53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招商政策信息</w:t>
      </w:r>
      <w:r w:rsidR="00EB6153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的基础上</w:t>
      </w:r>
      <w:r w:rsidR="00351F53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，还增加了局部门预算内容</w:t>
      </w:r>
      <w:r w:rsidR="00303652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、</w:t>
      </w:r>
      <w:r w:rsidR="00351F53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年度招商引资工作计划</w:t>
      </w:r>
      <w:r w:rsidR="00303652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、</w:t>
      </w:r>
      <w:r w:rsidR="00351F53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部门招商引资相关文件等</w:t>
      </w:r>
      <w:r w:rsidR="00303652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公开信息</w:t>
      </w:r>
      <w:r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。</w:t>
      </w:r>
    </w:p>
    <w:p w:rsidR="00351F53" w:rsidRPr="00DC6AD2" w:rsidRDefault="00F91F43" w:rsidP="00370795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三是</w:t>
      </w:r>
      <w:r w:rsidR="00EB6153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定期发布招商动态和招商引资工作通报</w:t>
      </w:r>
      <w:r w:rsidR="00351F53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。</w:t>
      </w:r>
      <w:r w:rsidR="00EB6153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按照周调度、月通报的要求，通过</w:t>
      </w:r>
      <w:r w:rsidR="00897EE3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信件、</w:t>
      </w:r>
      <w:r w:rsidR="00EB6153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政务协同办公、邮箱等形式，</w:t>
      </w:r>
      <w:r w:rsidR="00351F53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第一时间发布招商引资</w:t>
      </w:r>
      <w:r w:rsidR="00112F5D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通报</w:t>
      </w:r>
      <w:r w:rsidR="00351F53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，进一步促进招商</w:t>
      </w:r>
      <w:r w:rsidR="00897EE3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引资</w:t>
      </w:r>
      <w:r w:rsidR="00351F53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工作迈向新台阶。</w:t>
      </w:r>
    </w:p>
    <w:p w:rsidR="00C25036" w:rsidRPr="00DC6AD2" w:rsidRDefault="00F91F43" w:rsidP="00370795">
      <w:pPr>
        <w:adjustRightInd w:val="0"/>
        <w:snapToGrid w:val="0"/>
        <w:spacing w:line="560" w:lineRule="exact"/>
        <w:ind w:firstLineChars="196" w:firstLine="630"/>
        <w:textAlignment w:val="baseline"/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 w:rsidRPr="00DC6AD2">
        <w:rPr>
          <w:rFonts w:ascii="方正黑体简体" w:eastAsia="方正黑体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三</w:t>
      </w:r>
      <w:r w:rsidR="00C25036" w:rsidRPr="00DC6AD2">
        <w:rPr>
          <w:rFonts w:ascii="方正黑体简体" w:eastAsia="方正黑体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、主动公开政府信息情况</w:t>
      </w:r>
    </w:p>
    <w:p w:rsidR="00F91F43" w:rsidRPr="00DC6AD2" w:rsidRDefault="00F91F43" w:rsidP="00370795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一是</w:t>
      </w:r>
      <w:r w:rsidR="00303652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在“网络问政平台”接收群众咨询建议，</w:t>
      </w:r>
      <w:r w:rsidR="00EB6153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回复市民关心的招商领域</w:t>
      </w:r>
      <w:r w:rsidR="00303652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问题</w:t>
      </w:r>
      <w:r w:rsidR="00E42A80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2</w:t>
      </w:r>
      <w:r w:rsidR="00303652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条。在局网站发布招商动态</w:t>
      </w:r>
      <w:r w:rsidR="00E42A80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35</w:t>
      </w:r>
      <w:r w:rsidR="00303652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条。通过办公电话、电子邮件等方式渠道共收到客商、市民及网</w:t>
      </w:r>
      <w:r w:rsidR="00303652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lastRenderedPageBreak/>
        <w:t>友的反馈、咨询招商情况及项目方面的信息</w:t>
      </w:r>
      <w:r w:rsidR="00E42A80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60</w:t>
      </w:r>
      <w:r w:rsidR="00EB6153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多</w:t>
      </w:r>
      <w:r w:rsidR="00303652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条。</w:t>
      </w:r>
    </w:p>
    <w:p w:rsidR="00F91F43" w:rsidRPr="00DC6AD2" w:rsidRDefault="00F91F43" w:rsidP="00370795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二是</w:t>
      </w:r>
      <w:r w:rsidR="001B157C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发布招商动态、项目论证会、按月发布招商通报等形式公开政府信息</w:t>
      </w:r>
      <w:r w:rsidR="001B157C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5</w:t>
      </w:r>
      <w:r w:rsidR="001C5CF4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2</w:t>
      </w:r>
      <w:r w:rsidR="001B157C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条。</w:t>
      </w:r>
      <w:r w:rsidR="00303652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全年主动公开的政府信息未涉及国家秘密、商业秘密和个人隐私，也未出现危及国家安全、公共安全、经济安全和社会稳定的信息。</w:t>
      </w:r>
    </w:p>
    <w:p w:rsidR="00276102" w:rsidRPr="00DC6AD2" w:rsidRDefault="00F91F43" w:rsidP="00370795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三是</w:t>
      </w:r>
      <w:r w:rsidR="00276102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根据</w:t>
      </w:r>
      <w:r w:rsidR="00E42A80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《曲阜市人民政府办公室</w:t>
      </w:r>
      <w:r w:rsidR="00E42A80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&lt;</w:t>
      </w:r>
      <w:r w:rsidR="00E42A80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关于印发</w:t>
      </w:r>
      <w:r w:rsidR="00E42A80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2018</w:t>
      </w:r>
      <w:r w:rsidR="00E42A80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年政务公开工作任务分解表的通知</w:t>
      </w:r>
      <w:r w:rsidR="00E42A80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&gt;</w:t>
      </w:r>
      <w:r w:rsidR="00E42A80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》（</w:t>
      </w:r>
      <w:proofErr w:type="gramStart"/>
      <w:r w:rsidR="00E42A80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曲政办</w:t>
      </w:r>
      <w:proofErr w:type="gramEnd"/>
      <w:r w:rsidR="00E42A80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发〔</w:t>
      </w:r>
      <w:r w:rsidR="00E42A80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2018</w:t>
      </w:r>
      <w:r w:rsidR="00E42A80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〕</w:t>
      </w:r>
      <w:r w:rsidR="00E42A80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18</w:t>
      </w:r>
      <w:r w:rsidR="00E42A80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号）</w:t>
      </w:r>
      <w:r w:rsidR="00276102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通知的有关要求，我局加快完成了相关公开信息的整理及添加工作，积极有效的将公开信息加以分类和规范，让人民群众更好的感受便利的信息查询及问政反馈。</w:t>
      </w:r>
      <w:r w:rsidR="00EB6153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具体</w:t>
      </w:r>
      <w:r w:rsidR="00276102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内容如下：</w:t>
      </w:r>
    </w:p>
    <w:p w:rsidR="00276102" w:rsidRDefault="00276102" w:rsidP="00370795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1</w:t>
      </w:r>
      <w:r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、机构建设、招商任务目标：公布了机构设置及单位职责，领导分工及内设机构设置；</w:t>
      </w:r>
      <w:r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201</w:t>
      </w:r>
      <w:r w:rsidR="00E42A80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8</w:t>
      </w:r>
      <w:r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年全市招商引资工作计划</w:t>
      </w:r>
      <w:r w:rsidR="00E42A80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、要点</w:t>
      </w:r>
      <w:r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等。</w:t>
      </w:r>
    </w:p>
    <w:p w:rsidR="002827E9" w:rsidRDefault="002827E9" w:rsidP="00370795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2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、政策法规公开情况：转发国家、省级法规、条例、通知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6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条，市政府文件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1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条，部门文件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5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条；政策解读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7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条。</w:t>
      </w:r>
    </w:p>
    <w:p w:rsidR="002827E9" w:rsidRPr="002827E9" w:rsidRDefault="002827E9" w:rsidP="00370795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3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、规划计划公开情况：转发、发布规划计划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7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条。</w:t>
      </w:r>
    </w:p>
    <w:p w:rsidR="002827E9" w:rsidRDefault="002827E9" w:rsidP="00370795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4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、人事信息公开情况：发布人事任免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1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条，公开招聘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1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条，公职培训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2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条。</w:t>
      </w:r>
    </w:p>
    <w:p w:rsidR="002827E9" w:rsidRPr="002827E9" w:rsidRDefault="002827E9" w:rsidP="00370795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5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、重点领域信息公开情况：发布公示公告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7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条，新闻发布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8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条。</w:t>
      </w:r>
    </w:p>
    <w:p w:rsidR="002827E9" w:rsidRDefault="002827E9" w:rsidP="00370795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6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、对重大决策进行预公开，公开会议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4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条，解读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1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条，重大决策执行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9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条。</w:t>
      </w:r>
    </w:p>
    <w:p w:rsidR="00276102" w:rsidRPr="00DC6AD2" w:rsidRDefault="002827E9" w:rsidP="00370795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7</w:t>
      </w:r>
      <w:r w:rsidR="00276102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、招商项目信息公开情况：</w:t>
      </w:r>
      <w:r w:rsidR="00276102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201</w:t>
      </w:r>
      <w:r w:rsidR="00E42A80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8</w:t>
      </w:r>
      <w:r w:rsidR="00276102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年度通过网站共发布重点招商项目</w:t>
      </w:r>
      <w:r w:rsidR="00276102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2</w:t>
      </w:r>
      <w:r w:rsidR="00E42A80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1</w:t>
      </w:r>
      <w:r w:rsidR="00276102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个。发布招商动态</w:t>
      </w:r>
      <w:r w:rsidR="00276102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1</w:t>
      </w:r>
      <w:r w:rsidR="00830D09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03</w:t>
      </w:r>
      <w:r w:rsidR="00276102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个。</w:t>
      </w:r>
      <w:proofErr w:type="gramStart"/>
      <w:r w:rsidR="0019180B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微信公开</w:t>
      </w:r>
      <w:proofErr w:type="gramEnd"/>
      <w:r w:rsidR="0019180B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政府</w:t>
      </w:r>
      <w:r w:rsidR="0019180B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lastRenderedPageBreak/>
        <w:t>信息数</w:t>
      </w:r>
      <w:r w:rsidR="00E42A80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500</w:t>
      </w:r>
      <w:r w:rsidR="00EB6153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多</w:t>
      </w:r>
      <w:r w:rsidR="0019180B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条。</w:t>
      </w:r>
    </w:p>
    <w:p w:rsidR="00276102" w:rsidRPr="00DC6AD2" w:rsidRDefault="002827E9" w:rsidP="00370795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8</w:t>
      </w:r>
      <w:r w:rsidR="00276102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、统计信息公开情况：按月发布</w:t>
      </w:r>
      <w:r w:rsidR="0019180B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招商引资通报</w:t>
      </w:r>
      <w:r w:rsidR="0019180B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8</w:t>
      </w:r>
      <w:r w:rsidR="0019180B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次</w:t>
      </w:r>
      <w:r w:rsidR="00276102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，</w:t>
      </w:r>
      <w:r w:rsidR="0019180B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统计全市招商引资情况</w:t>
      </w:r>
      <w:r w:rsidR="00E42A80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12</w:t>
      </w:r>
      <w:r w:rsidR="0019180B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次。</w:t>
      </w:r>
    </w:p>
    <w:p w:rsidR="0019180B" w:rsidRPr="00DC6AD2" w:rsidRDefault="002827E9" w:rsidP="00370795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9</w:t>
      </w:r>
      <w:r w:rsidR="00276102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、</w:t>
      </w:r>
      <w:r w:rsidR="0019180B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网站指南：在网站设立了“招商动态”</w:t>
      </w:r>
      <w:r w:rsidR="00370795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、</w:t>
      </w:r>
      <w:r w:rsidR="0019180B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“投资环境”、“投资政策”、“联系方式”等栏目，</w:t>
      </w:r>
      <w:r w:rsidR="00370795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不断为</w:t>
      </w:r>
      <w:r w:rsidR="0019180B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投资客商提供</w:t>
      </w:r>
      <w:r w:rsidR="00370795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优质</w:t>
      </w:r>
      <w:r w:rsidR="0019180B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服务。</w:t>
      </w:r>
    </w:p>
    <w:p w:rsidR="0019180B" w:rsidRPr="00DC6AD2" w:rsidRDefault="002827E9" w:rsidP="00370795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10</w:t>
      </w:r>
      <w:r w:rsidR="00370795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、其它信息：</w:t>
      </w:r>
      <w:r w:rsidR="0019180B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公布财务信息</w:t>
      </w:r>
      <w:r w:rsidR="00E42A80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3</w:t>
      </w:r>
      <w:r w:rsidR="0019180B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条，年度计划信息</w:t>
      </w:r>
      <w:r w:rsidR="0019180B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1</w:t>
      </w:r>
      <w:r w:rsidR="0019180B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条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，主动公开基本目录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1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条</w:t>
      </w:r>
      <w:r w:rsidR="0019180B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。</w:t>
      </w:r>
    </w:p>
    <w:p w:rsidR="00303722" w:rsidRDefault="00405276" w:rsidP="00370795">
      <w:pPr>
        <w:adjustRightInd w:val="0"/>
        <w:snapToGrid w:val="0"/>
        <w:spacing w:line="560" w:lineRule="exact"/>
        <w:ind w:firstLineChars="196" w:firstLine="630"/>
        <w:textAlignment w:val="baseline"/>
        <w:rPr>
          <w:rFonts w:ascii="方正黑体简体" w:eastAsia="方正黑体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 w:rsidRPr="00DC6AD2">
        <w:rPr>
          <w:rFonts w:ascii="方正黑体简体" w:eastAsia="方正黑体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四</w:t>
      </w:r>
      <w:r w:rsidR="00C25036" w:rsidRPr="00DC6AD2">
        <w:rPr>
          <w:rFonts w:ascii="方正黑体简体" w:eastAsia="方正黑体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、</w:t>
      </w:r>
      <w:r w:rsidR="00303722">
        <w:rPr>
          <w:rFonts w:ascii="方正黑体简体" w:eastAsia="方正黑体简体" w:hAnsi="Times New Roman" w:cs="Times New Roman"/>
          <w:b/>
          <w:snapToGrid w:val="0"/>
          <w:color w:val="000000"/>
          <w:kern w:val="0"/>
          <w:sz w:val="32"/>
          <w:szCs w:val="32"/>
        </w:rPr>
        <w:t>人大政协建议提案办理</w:t>
      </w:r>
      <w:r w:rsidR="00303722" w:rsidRPr="00303722">
        <w:rPr>
          <w:rFonts w:ascii="方正黑体简体" w:eastAsia="方正黑体简体" w:hAnsi="Times New Roman" w:cs="Times New Roman"/>
          <w:b/>
          <w:snapToGrid w:val="0"/>
          <w:color w:val="000000"/>
          <w:kern w:val="0"/>
          <w:sz w:val="32"/>
          <w:szCs w:val="32"/>
        </w:rPr>
        <w:t>情况</w:t>
      </w:r>
    </w:p>
    <w:p w:rsidR="00E42A80" w:rsidRPr="00E42A80" w:rsidRDefault="00303722" w:rsidP="00E42A80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2018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年我局收到政协提案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3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条，收到提案后我局立即</w:t>
      </w:r>
      <w:proofErr w:type="gramStart"/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召开召开</w:t>
      </w:r>
      <w:proofErr w:type="gramEnd"/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会议研究，第一时间提出办理措施，并及时与提案人取得联系，</w:t>
      </w:r>
      <w:r w:rsidR="00E42A80" w:rsidRPr="00DC6AD2"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  <w:t xml:space="preserve"> </w:t>
      </w:r>
      <w:r w:rsidR="00E42A80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面对面</w:t>
      </w:r>
      <w:r w:rsidR="00E42A80" w:rsidRPr="00E42A80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对提案的办理方案进行座谈，共同研究探讨更具操作性的办理方案。</w:t>
      </w:r>
      <w:r w:rsidR="00E42A80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在征求提案人</w:t>
      </w:r>
      <w:r w:rsidR="00E42A80" w:rsidRPr="00E42A80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同意、主要领导确认签字后，再正式行文答复。答复完毕后，局办公室对</w:t>
      </w:r>
      <w:r w:rsidR="00E42A80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提案</w:t>
      </w:r>
      <w:r w:rsidR="00E42A80" w:rsidRPr="00E42A80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的办理进度和质量进行督促检查</w:t>
      </w:r>
      <w:r w:rsidR="00E42A80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，有效</w:t>
      </w:r>
      <w:r w:rsidR="00E42A80" w:rsidRPr="00E42A80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破解</w:t>
      </w:r>
      <w:r w:rsidR="00E42A80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了招商引资工作中的难点和</w:t>
      </w:r>
      <w:r w:rsidR="00E42A80" w:rsidRPr="00E42A80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难题。</w:t>
      </w:r>
    </w:p>
    <w:p w:rsidR="00C25036" w:rsidRPr="00DC6AD2" w:rsidRDefault="00303722" w:rsidP="00370795">
      <w:pPr>
        <w:adjustRightInd w:val="0"/>
        <w:snapToGrid w:val="0"/>
        <w:spacing w:line="560" w:lineRule="exact"/>
        <w:ind w:firstLineChars="196" w:firstLine="630"/>
        <w:textAlignment w:val="baseline"/>
        <w:rPr>
          <w:rFonts w:ascii="方正黑体简体" w:eastAsia="方正黑体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ascii="方正黑体简体" w:eastAsia="方正黑体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五、</w:t>
      </w:r>
      <w:r w:rsidR="00C25036" w:rsidRPr="00DC6AD2">
        <w:rPr>
          <w:rFonts w:ascii="方正黑体简体" w:eastAsia="方正黑体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依申请公开政府信息情况</w:t>
      </w:r>
    </w:p>
    <w:p w:rsidR="00C25036" w:rsidRPr="00DC6AD2" w:rsidRDefault="00C25036" w:rsidP="00370795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201</w:t>
      </w:r>
      <w:r w:rsidR="007340B6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8</w:t>
      </w:r>
      <w:r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年度，我局依申请公开信息为</w:t>
      </w:r>
      <w:r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0</w:t>
      </w:r>
      <w:r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条。投资促进局目前没有接到公众、法人或其他组织要求公开政府信息的申请。</w:t>
      </w:r>
    </w:p>
    <w:p w:rsidR="00C25036" w:rsidRPr="00DC6AD2" w:rsidRDefault="00303722" w:rsidP="00370795">
      <w:pPr>
        <w:adjustRightInd w:val="0"/>
        <w:snapToGrid w:val="0"/>
        <w:spacing w:line="560" w:lineRule="exact"/>
        <w:ind w:firstLineChars="196" w:firstLine="630"/>
        <w:textAlignment w:val="baseline"/>
        <w:rPr>
          <w:rFonts w:ascii="方正黑体简体" w:eastAsia="方正黑体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ascii="方正黑体简体" w:eastAsia="方正黑体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六</w:t>
      </w:r>
      <w:r w:rsidR="00C25036" w:rsidRPr="00DC6AD2">
        <w:rPr>
          <w:rFonts w:ascii="方正黑体简体" w:eastAsia="方正黑体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、行政复议和行政诉讼情况</w:t>
      </w:r>
    </w:p>
    <w:p w:rsidR="007F6FDB" w:rsidRPr="00DC6AD2" w:rsidRDefault="00370795" w:rsidP="00370795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依据我局职能分工</w:t>
      </w:r>
      <w:r w:rsidR="00C25036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，我局没有涉及政府信息公开的行政复议、行政诉讼和申诉的情况。</w:t>
      </w:r>
    </w:p>
    <w:p w:rsidR="00C25036" w:rsidRPr="00DC6AD2" w:rsidRDefault="00303722" w:rsidP="00370795">
      <w:pPr>
        <w:adjustRightInd w:val="0"/>
        <w:snapToGrid w:val="0"/>
        <w:spacing w:line="560" w:lineRule="exact"/>
        <w:ind w:firstLineChars="196" w:firstLine="630"/>
        <w:textAlignment w:val="baseline"/>
        <w:rPr>
          <w:rFonts w:ascii="方正黑体简体" w:eastAsia="方正黑体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ascii="方正黑体简体" w:eastAsia="方正黑体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七</w:t>
      </w:r>
      <w:r w:rsidR="00C25036" w:rsidRPr="00DC6AD2">
        <w:rPr>
          <w:rFonts w:ascii="方正黑体简体" w:eastAsia="方正黑体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、收费及减免情况</w:t>
      </w:r>
    </w:p>
    <w:p w:rsidR="00C25036" w:rsidRPr="00DC6AD2" w:rsidRDefault="00370795" w:rsidP="00370795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依据我局职能分工</w:t>
      </w:r>
      <w:r w:rsidR="00C25036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，我局未实际发生依申请公开事项，</w:t>
      </w:r>
      <w:r w:rsidR="00C25036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lastRenderedPageBreak/>
        <w:t>未收取政府信息公开费用，因此也不存在减免费用。</w:t>
      </w:r>
    </w:p>
    <w:p w:rsidR="00C25036" w:rsidRPr="00DC6AD2" w:rsidRDefault="00303722" w:rsidP="00370795">
      <w:pPr>
        <w:adjustRightInd w:val="0"/>
        <w:snapToGrid w:val="0"/>
        <w:spacing w:line="560" w:lineRule="exact"/>
        <w:ind w:firstLineChars="196" w:firstLine="630"/>
        <w:textAlignment w:val="baseline"/>
        <w:rPr>
          <w:rFonts w:ascii="方正黑体简体" w:eastAsia="方正黑体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ascii="方正黑体简体" w:eastAsia="方正黑体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八</w:t>
      </w:r>
      <w:r w:rsidR="00C25036" w:rsidRPr="00DC6AD2">
        <w:rPr>
          <w:rFonts w:ascii="方正黑体简体" w:eastAsia="方正黑体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、政府信息公开工作存在问题及改进情况</w:t>
      </w:r>
    </w:p>
    <w:p w:rsidR="00370795" w:rsidRDefault="00C25036" w:rsidP="00370795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一是信息公开方式不够丰富</w:t>
      </w:r>
      <w:r w:rsidR="00E42A80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、新颖</w:t>
      </w:r>
      <w:r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，网上信息服务功能有待进一步增强和提高</w:t>
      </w:r>
      <w:r w:rsidR="0022243A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。</w:t>
      </w:r>
      <w:r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二是在公开内容上，</w:t>
      </w:r>
      <w:r w:rsidR="00E42A80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充实度还不够多，公开的规范性有待加强</w:t>
      </w:r>
      <w:r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。</w:t>
      </w:r>
      <w:r w:rsidR="003059FA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三是投资促进局信息公开工作机制还有待进一步提升和完善。</w:t>
      </w:r>
    </w:p>
    <w:p w:rsidR="0022243A" w:rsidRPr="00370795" w:rsidRDefault="003059FA" w:rsidP="00370795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方正黑体简体" w:eastAsia="方正黑体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 w:rsidRPr="00370795">
        <w:rPr>
          <w:rFonts w:ascii="方正黑体简体" w:eastAsia="方正黑体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下一步</w:t>
      </w:r>
      <w:r w:rsidR="00370795" w:rsidRPr="00370795">
        <w:rPr>
          <w:rFonts w:ascii="方正黑体简体" w:eastAsia="方正黑体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将</w:t>
      </w:r>
      <w:r w:rsidRPr="00370795">
        <w:rPr>
          <w:rFonts w:ascii="方正黑体简体" w:eastAsia="方正黑体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严格按照上级要求，进一步完善信息公开工作机制，健全政府信息公开制度，把信息公开工作做得更充分、全面、</w:t>
      </w:r>
      <w:r w:rsidR="00370795" w:rsidRPr="00370795">
        <w:rPr>
          <w:rFonts w:ascii="方正黑体简体" w:eastAsia="方正黑体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细致</w:t>
      </w:r>
      <w:r w:rsidRPr="00370795">
        <w:rPr>
          <w:rFonts w:ascii="方正黑体简体" w:eastAsia="方正黑体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。</w:t>
      </w:r>
      <w:r w:rsidR="00C25036" w:rsidRPr="00370795">
        <w:rPr>
          <w:rFonts w:ascii="方正黑体简体" w:eastAsia="方正黑体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为改进政府公开信息工作，201</w:t>
      </w:r>
      <w:r w:rsidR="001C5CF4">
        <w:rPr>
          <w:rFonts w:ascii="方正黑体简体" w:eastAsia="方正黑体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9</w:t>
      </w:r>
      <w:r w:rsidR="00C25036" w:rsidRPr="00370795">
        <w:rPr>
          <w:rFonts w:ascii="方正黑体简体" w:eastAsia="方正黑体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年，我局将采取以下改进措施，推动政府信息公开工作：</w:t>
      </w:r>
    </w:p>
    <w:p w:rsidR="00480F8D" w:rsidRDefault="00C25036" w:rsidP="00370795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一是</w:t>
      </w:r>
      <w:r w:rsidR="00370795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加强政府信息公开相关业务学习，加强对政府信息公开工作人员的业务培训，进一步提高工作人员的能力和素质</w:t>
      </w:r>
      <w:r w:rsidR="00E42A80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。</w:t>
      </w:r>
    </w:p>
    <w:p w:rsidR="00480F8D" w:rsidRDefault="00E42A80" w:rsidP="00370795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二是</w:t>
      </w:r>
      <w:r w:rsidR="00370795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进一步健全和完善政务信息公开工作制度，建立健全长效的管理机制，更好地满足公众的需求，使政务信息公开工作不断完善。</w:t>
      </w:r>
    </w:p>
    <w:p w:rsidR="00C25036" w:rsidRPr="00DC6AD2" w:rsidRDefault="00E42A80" w:rsidP="00370795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三</w:t>
      </w:r>
      <w:r w:rsidR="00C25036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是</w:t>
      </w:r>
      <w:r w:rsidR="00370795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加大信息公开力度。进一步加大</w:t>
      </w:r>
      <w:r w:rsidR="00370795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局</w:t>
      </w:r>
      <w:r w:rsidR="00370795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内部管理、各项政务信息的公开力度，有计划、有步骤的公开信息，自觉接受社会和舆论监督。</w:t>
      </w:r>
    </w:p>
    <w:p w:rsidR="003059FA" w:rsidRPr="00DC6AD2" w:rsidRDefault="004B09FA" w:rsidP="00370795">
      <w:pPr>
        <w:adjustRightInd w:val="0"/>
        <w:snapToGrid w:val="0"/>
        <w:spacing w:line="560" w:lineRule="exact"/>
        <w:ind w:firstLineChars="196" w:firstLine="630"/>
        <w:textAlignment w:val="baseline"/>
        <w:rPr>
          <w:rFonts w:ascii="方正黑体简体" w:eastAsia="方正黑体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ascii="方正黑体简体" w:eastAsia="方正黑体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九</w:t>
      </w:r>
      <w:r w:rsidR="003059FA" w:rsidRPr="00DC6AD2">
        <w:rPr>
          <w:rFonts w:ascii="方正黑体简体" w:eastAsia="方正黑体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、其他需要说明的事项</w:t>
      </w:r>
    </w:p>
    <w:p w:rsidR="00E42A80" w:rsidRDefault="00370795" w:rsidP="00E42A80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依据我局职能分工</w:t>
      </w:r>
      <w:r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，</w:t>
      </w:r>
      <w:r w:rsidR="003059FA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不存在</w:t>
      </w:r>
      <w:proofErr w:type="gramStart"/>
      <w:r w:rsidR="001C5CF4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放管服改革</w:t>
      </w:r>
      <w:proofErr w:type="gramEnd"/>
      <w:r w:rsidR="001C5CF4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、行政</w:t>
      </w:r>
      <w:bookmarkStart w:id="0" w:name="_GoBack"/>
      <w:bookmarkEnd w:id="0"/>
      <w:r w:rsidR="001C5CF4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执法、</w:t>
      </w:r>
      <w:r w:rsidR="00480F8D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、行政诉讼、</w:t>
      </w:r>
      <w:r w:rsidR="003059FA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行政许可等业务事项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。</w:t>
      </w:r>
      <w:r w:rsidR="003059FA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201</w:t>
      </w:r>
      <w:r w:rsidR="001C5CF4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8</w:t>
      </w:r>
      <w:r w:rsidR="003059FA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年</w:t>
      </w:r>
      <w:r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度</w:t>
      </w:r>
      <w:r w:rsidR="003059FA" w:rsidRPr="00DC6AD2">
        <w:rPr>
          <w:rFonts w:ascii="Times New Roman" w:eastAsia="方正仿宋简体" w:hAnsi="Times New Roman" w:cs="Times New Roman" w:hint="eastAsia"/>
          <w:b/>
          <w:snapToGrid w:val="0"/>
          <w:color w:val="000000"/>
          <w:kern w:val="0"/>
          <w:sz w:val="32"/>
          <w:szCs w:val="32"/>
        </w:rPr>
        <w:t>，信息公开情况相对平稳，没有需要特别报告的事项。</w:t>
      </w:r>
    </w:p>
    <w:p w:rsidR="00480F8D" w:rsidRDefault="00480F8D" w:rsidP="00E42A80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</w:pPr>
    </w:p>
    <w:p w:rsidR="001C5CF4" w:rsidRDefault="001C5CF4" w:rsidP="001C5CF4">
      <w:pPr>
        <w:wordWrap w:val="0"/>
        <w:overflowPunct w:val="0"/>
        <w:spacing w:line="580" w:lineRule="exact"/>
        <w:jc w:val="center"/>
        <w:rPr>
          <w:rFonts w:ascii="Times New Roman" w:eastAsia="方正小标宋简体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color w:val="000000"/>
          <w:sz w:val="44"/>
          <w:szCs w:val="44"/>
        </w:rPr>
        <w:lastRenderedPageBreak/>
        <w:t>2018</w:t>
      </w:r>
      <w:r>
        <w:rPr>
          <w:rFonts w:ascii="Times New Roman" w:eastAsia="方正小标宋简体" w:hAnsi="Times New Roman" w:cs="Times New Roman"/>
          <w:b/>
          <w:color w:val="000000"/>
          <w:sz w:val="44"/>
          <w:szCs w:val="44"/>
        </w:rPr>
        <w:t>年度政府信息公开工作情况统计表</w:t>
      </w:r>
    </w:p>
    <w:p w:rsidR="001C5CF4" w:rsidRDefault="001C5CF4" w:rsidP="001C5CF4">
      <w:pPr>
        <w:wordWrap w:val="0"/>
        <w:overflowPunct w:val="0"/>
        <w:spacing w:line="580" w:lineRule="exact"/>
        <w:jc w:val="center"/>
        <w:rPr>
          <w:rFonts w:ascii="Times New Roman" w:eastAsia="方正小标宋简体" w:hAnsi="Times New Roman" w:cs="Times New Roman"/>
          <w:b/>
          <w:color w:val="000000"/>
          <w:sz w:val="44"/>
          <w:szCs w:val="44"/>
        </w:rPr>
      </w:pPr>
    </w:p>
    <w:tbl>
      <w:tblPr>
        <w:tblW w:w="0" w:type="auto"/>
        <w:jc w:val="center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6"/>
        <w:gridCol w:w="1150"/>
        <w:gridCol w:w="1220"/>
      </w:tblGrid>
      <w:tr w:rsidR="001C5CF4" w:rsidTr="00B156B0">
        <w:trPr>
          <w:trHeight w:val="338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pStyle w:val="a5"/>
              <w:wordWrap w:val="0"/>
              <w:overflowPunct w:val="0"/>
              <w:spacing w:before="0" w:beforeAutospacing="0" w:after="0" w:afterAutospacing="0" w:line="460" w:lineRule="exact"/>
              <w:ind w:firstLine="685"/>
              <w:jc w:val="center"/>
              <w:rPr>
                <w:rFonts w:ascii="Times New Roman" w:eastAsia="方正黑体简体" w:hAnsi="Times New Roman" w:cs="Times New Roman"/>
                <w:b/>
                <w:color w:val="000000"/>
              </w:rPr>
            </w:pPr>
            <w:r>
              <w:rPr>
                <w:rStyle w:val="a8"/>
                <w:rFonts w:ascii="Times New Roman" w:eastAsia="方正黑体简体" w:hAnsi="Times New Roman" w:cs="Times New Roman"/>
                <w:color w:val="000000"/>
              </w:rPr>
              <w:t>统　计　指　标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4"/>
              </w:rPr>
            </w:pPr>
            <w:r>
              <w:rPr>
                <w:rStyle w:val="a8"/>
                <w:rFonts w:ascii="Times New Roman" w:eastAsia="方正黑体简体" w:hAnsi="Times New Roman" w:cs="Times New Roman"/>
                <w:color w:val="000000"/>
                <w:sz w:val="24"/>
              </w:rPr>
              <w:t>单位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4"/>
              </w:rPr>
            </w:pPr>
            <w:r>
              <w:rPr>
                <w:rStyle w:val="a8"/>
                <w:rFonts w:ascii="Times New Roman" w:eastAsia="方正黑体简体" w:hAnsi="Times New Roman" w:cs="Times New Roman"/>
                <w:color w:val="000000"/>
                <w:sz w:val="24"/>
              </w:rPr>
              <w:t>统计数</w:t>
            </w:r>
          </w:p>
        </w:tc>
      </w:tr>
      <w:tr w:rsidR="001C5CF4" w:rsidTr="00B156B0">
        <w:trPr>
          <w:trHeight w:val="323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黑体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黑体简体" w:hAnsi="Times New Roman" w:cs="Times New Roman"/>
                <w:b/>
                <w:color w:val="000000"/>
                <w:sz w:val="24"/>
              </w:rPr>
              <w:t>一、主动公开情况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4B310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　</w:t>
            </w:r>
            <w:r w:rsidR="004B3100">
              <w:rPr>
                <w:rFonts w:ascii="Times New Roman" w:hAnsi="Times New Roman" w:cs="Times New Roman" w:hint="eastAsia"/>
                <w:b/>
                <w:color w:val="000000"/>
                <w:sz w:val="24"/>
              </w:rPr>
              <w:t>92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val="603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（一）主动公开政府信息数（不同渠道和方式公开相同信息计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1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条）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条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　</w:t>
            </w:r>
            <w:r w:rsidR="004B3100">
              <w:rPr>
                <w:rFonts w:ascii="Times New Roman" w:hAnsi="Times New Roman" w:cs="Times New Roman" w:hint="eastAsia"/>
                <w:b/>
                <w:color w:val="000000"/>
                <w:sz w:val="24"/>
              </w:rPr>
              <w:t>92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　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  <w:proofErr w:type="gramEnd"/>
          </w:p>
        </w:tc>
      </w:tr>
      <w:tr w:rsidR="001C5CF4" w:rsidTr="00B156B0">
        <w:trPr>
          <w:trHeight w:hRule="exact" w:val="520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adjustRightInd w:val="0"/>
              <w:snapToGrid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　　其中：主动公开规范性文件数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条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565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adjustRightInd w:val="0"/>
              <w:snapToGrid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　　　　　制发规范性文件总数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535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（二）通过不同渠道和方式公开政府信息的情况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  <w:r w:rsidR="007340B6">
              <w:rPr>
                <w:rFonts w:ascii="Times New Roman" w:hAnsi="Times New Roman" w:cs="Times New Roman" w:hint="eastAsia"/>
                <w:b/>
                <w:color w:val="000000"/>
                <w:sz w:val="24"/>
              </w:rPr>
              <w:t>899</w:t>
            </w:r>
          </w:p>
        </w:tc>
      </w:tr>
      <w:tr w:rsidR="001C5CF4" w:rsidTr="00B156B0">
        <w:trPr>
          <w:trHeight w:hRule="exact" w:val="490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　　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1.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政府公报公开政府信息数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条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490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　　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政府网站公开政府信息数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条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  <w:r w:rsidR="007340B6">
              <w:rPr>
                <w:rFonts w:ascii="Times New Roman" w:hAnsi="Times New Roman" w:cs="Times New Roman" w:hint="eastAsia"/>
                <w:b/>
                <w:color w:val="000000"/>
                <w:sz w:val="24"/>
              </w:rPr>
              <w:t>262</w:t>
            </w:r>
          </w:p>
        </w:tc>
      </w:tr>
      <w:tr w:rsidR="001C5CF4" w:rsidTr="00B156B0">
        <w:trPr>
          <w:trHeight w:hRule="exact" w:val="535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　　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3.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政务</w:t>
            </w:r>
            <w:proofErr w:type="gramStart"/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微博公开</w:t>
            </w:r>
            <w:proofErr w:type="gramEnd"/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政府信息数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条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505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　　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4.</w:t>
            </w:r>
            <w:proofErr w:type="gramStart"/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政务微信公开</w:t>
            </w:r>
            <w:proofErr w:type="gramEnd"/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政府信息数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条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  <w:r w:rsidR="007340B6">
              <w:rPr>
                <w:rFonts w:ascii="Times New Roman" w:hAnsi="Times New Roman" w:cs="Times New Roman" w:hint="eastAsia"/>
                <w:b/>
                <w:color w:val="000000"/>
                <w:sz w:val="24"/>
              </w:rPr>
              <w:t>585</w:t>
            </w:r>
          </w:p>
        </w:tc>
      </w:tr>
      <w:tr w:rsidR="001C5CF4" w:rsidTr="00B156B0">
        <w:trPr>
          <w:trHeight w:hRule="exact" w:val="565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　　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5.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其他方式公开政府信息数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条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  <w:r w:rsidR="007340B6">
              <w:rPr>
                <w:rFonts w:ascii="Times New Roman" w:hAnsi="Times New Roman" w:cs="Times New Roman" w:hint="eastAsia"/>
                <w:b/>
                <w:color w:val="000000"/>
                <w:sz w:val="24"/>
              </w:rPr>
              <w:t>52</w:t>
            </w:r>
          </w:p>
        </w:tc>
      </w:tr>
      <w:tr w:rsidR="001C5CF4" w:rsidTr="00B156B0">
        <w:trPr>
          <w:trHeight w:hRule="exact" w:val="630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黑体简体" w:hAnsi="Times New Roman" w:cs="Times New Roman"/>
                <w:b/>
                <w:color w:val="000000"/>
                <w:sz w:val="24"/>
              </w:rPr>
              <w:t>二、回应解读情况（不同方式回应同一热点或舆情计</w:t>
            </w:r>
            <w:r>
              <w:rPr>
                <w:rFonts w:ascii="Times New Roman" w:eastAsia="方正黑体简体" w:hAnsi="Times New Roman" w:cs="Times New Roman"/>
                <w:b/>
                <w:color w:val="000000"/>
                <w:sz w:val="24"/>
              </w:rPr>
              <w:t>1</w:t>
            </w:r>
            <w:r>
              <w:rPr>
                <w:rFonts w:ascii="Times New Roman" w:eastAsia="方正黑体简体" w:hAnsi="Times New Roman" w:cs="Times New Roman"/>
                <w:b/>
                <w:color w:val="000000"/>
                <w:sz w:val="24"/>
              </w:rPr>
              <w:t>次）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1C5CF4" w:rsidRDefault="001C5CF4" w:rsidP="00B156B0">
            <w:pPr>
              <w:pStyle w:val="a5"/>
              <w:wordWrap w:val="0"/>
              <w:overflowPunct w:val="0"/>
              <w:spacing w:before="0" w:beforeAutospacing="0" w:after="0" w:afterAutospacing="0" w:line="460" w:lineRule="exact"/>
              <w:ind w:firstLine="685"/>
              <w:jc w:val="center"/>
              <w:rPr>
                <w:rFonts w:ascii="Times New Roman" w:eastAsia="方正仿宋简体" w:hAnsi="Times New Roman" w:cs="Times New Roman"/>
                <w:b/>
                <w:color w:val="000000"/>
              </w:rPr>
            </w:pPr>
          </w:p>
        </w:tc>
        <w:tc>
          <w:tcPr>
            <w:tcW w:w="122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shd w:val="clear" w:color="auto" w:fill="FFFFFF"/>
            <w:vAlign w:val="center"/>
          </w:tcPr>
          <w:p w:rsidR="001C5CF4" w:rsidRDefault="00CD7D6C" w:rsidP="00CD7D6C">
            <w:pPr>
              <w:overflowPunct w:val="0"/>
              <w:spacing w:line="4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6</w:t>
            </w:r>
          </w:p>
        </w:tc>
      </w:tr>
      <w:tr w:rsidR="001C5CF4" w:rsidTr="00B156B0">
        <w:trPr>
          <w:trHeight w:val="588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（一）回应公众关注热点或重大舆情数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</w:t>
            </w:r>
            <w:proofErr w:type="gramStart"/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</w:t>
            </w:r>
            <w:proofErr w:type="gramEnd"/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（不同方式回应同一热点或舆情计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1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次）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次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CD7D6C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  <w:r w:rsidR="00CD7D6C">
              <w:rPr>
                <w:rFonts w:ascii="Times New Roman" w:hAnsi="Times New Roman" w:cs="Times New Roman" w:hint="eastAsia"/>
                <w:b/>
                <w:color w:val="000000"/>
                <w:sz w:val="24"/>
              </w:rPr>
              <w:t>2</w:t>
            </w:r>
          </w:p>
        </w:tc>
      </w:tr>
      <w:tr w:rsidR="001C5CF4" w:rsidTr="00B156B0">
        <w:trPr>
          <w:trHeight w:hRule="exact" w:val="460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（二）通过不同渠道和方式回应解读的情况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CD7D6C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  <w:r w:rsidR="00CD7D6C">
              <w:rPr>
                <w:rFonts w:ascii="Times New Roman" w:hAnsi="Times New Roman" w:cs="Times New Roman" w:hint="eastAsia"/>
                <w:b/>
                <w:color w:val="000000"/>
                <w:sz w:val="24"/>
              </w:rPr>
              <w:t>4</w:t>
            </w:r>
          </w:p>
        </w:tc>
      </w:tr>
      <w:tr w:rsidR="001C5CF4" w:rsidTr="00B156B0">
        <w:trPr>
          <w:trHeight w:hRule="exact" w:val="490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　　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1.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参加或举办新闻发布会总次数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次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490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　　　其中：主要负责同志参加新闻发布会次数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次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445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　　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政府网站在线访谈次数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次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475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　　　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其中：主要负责同志参加政府网站在线访谈次数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次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  <w:r w:rsidR="00CD7D6C">
              <w:rPr>
                <w:rFonts w:ascii="Times New Roman" w:hAnsi="Times New Roman" w:cs="Times New Roman" w:hint="eastAsia"/>
                <w:b/>
                <w:color w:val="000000"/>
                <w:sz w:val="24"/>
              </w:rPr>
              <w:t>1</w:t>
            </w:r>
          </w:p>
        </w:tc>
      </w:tr>
      <w:tr w:rsidR="001C5CF4" w:rsidTr="00B156B0">
        <w:trPr>
          <w:trHeight w:hRule="exact" w:val="475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　　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3.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政策解读稿件发布数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篇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CD7D6C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  <w:r w:rsidR="00CD7D6C">
              <w:rPr>
                <w:rFonts w:ascii="Times New Roman" w:hAnsi="Times New Roman" w:cs="Times New Roman" w:hint="eastAsia"/>
                <w:b/>
                <w:color w:val="000000"/>
                <w:sz w:val="24"/>
              </w:rPr>
              <w:t>3</w:t>
            </w:r>
          </w:p>
        </w:tc>
      </w:tr>
      <w:tr w:rsidR="001C5CF4" w:rsidTr="00B156B0">
        <w:trPr>
          <w:trHeight w:hRule="exact" w:val="490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　　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4.</w:t>
            </w:r>
            <w:proofErr w:type="gramStart"/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微博微信回应</w:t>
            </w:r>
            <w:proofErr w:type="gramEnd"/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事件数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次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550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　　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5.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其他方式回应事件数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次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val="310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黑体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黑体简体" w:hAnsi="Times New Roman" w:cs="Times New Roman"/>
                <w:b/>
                <w:color w:val="000000"/>
                <w:sz w:val="24"/>
              </w:rPr>
              <w:t>三、依申请公开情况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1C5CF4" w:rsidRDefault="001C5CF4" w:rsidP="00B156B0">
            <w:pPr>
              <w:pStyle w:val="a5"/>
              <w:wordWrap w:val="0"/>
              <w:overflowPunct w:val="0"/>
              <w:spacing w:before="0" w:beforeAutospacing="0" w:after="0" w:afterAutospacing="0" w:line="460" w:lineRule="exact"/>
              <w:ind w:firstLine="685"/>
              <w:jc w:val="center"/>
              <w:rPr>
                <w:rFonts w:ascii="Times New Roman" w:eastAsia="方正仿宋简体" w:hAnsi="Times New Roman" w:cs="Times New Roman"/>
                <w:b/>
                <w:color w:val="000000"/>
              </w:rPr>
            </w:pPr>
          </w:p>
        </w:tc>
        <w:tc>
          <w:tcPr>
            <w:tcW w:w="122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shd w:val="clear" w:color="auto" w:fill="FFFFFF"/>
            <w:vAlign w:val="center"/>
          </w:tcPr>
          <w:p w:rsidR="001C5CF4" w:rsidRDefault="007340B6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0</w:t>
            </w:r>
          </w:p>
        </w:tc>
      </w:tr>
      <w:tr w:rsidR="001C5CF4" w:rsidTr="00B156B0">
        <w:trPr>
          <w:trHeight w:hRule="exact" w:val="460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（一）收到申请数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550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lastRenderedPageBreak/>
              <w:t xml:space="preserve">　　　　　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1.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当面申请数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460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　　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传真申请数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495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　　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3.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网络申请数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545"/>
          <w:jc w:val="center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　　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4.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信函申请数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540"/>
          <w:jc w:val="center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          5.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其他形式</w:t>
            </w:r>
          </w:p>
        </w:tc>
        <w:tc>
          <w:tcPr>
            <w:tcW w:w="115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1C5CF4" w:rsidTr="00B156B0">
        <w:trPr>
          <w:trHeight w:hRule="exact" w:val="520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（二）申请</w:t>
            </w:r>
            <w:proofErr w:type="gramStart"/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办结数</w:t>
            </w:r>
            <w:proofErr w:type="gramEnd"/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460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　　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1.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按时</w:t>
            </w:r>
            <w:proofErr w:type="gramStart"/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办结数</w:t>
            </w:r>
            <w:proofErr w:type="gramEnd"/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505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　　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延期</w:t>
            </w:r>
            <w:proofErr w:type="gramStart"/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办结数</w:t>
            </w:r>
            <w:proofErr w:type="gramEnd"/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490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（三）申请答复数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520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　　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1.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属于已主动公开范围数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490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　　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同意公开答复数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460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　　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3.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同意部分公开答复数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505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　　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4.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不同意公开答复数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490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　　其中：涉及国家秘密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520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　　涉及商业秘密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490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　　涉及个人隐私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val="575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　　危及国家安全、公共安全、经济安全和社会稳定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505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　　不是《条例》所指政府信息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490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　　法律法规规定的其他情形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535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　　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5.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不属于本行政机关公开数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505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　　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6.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申请信息不存在数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610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　　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7.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告知</w:t>
            </w:r>
            <w:proofErr w:type="gramStart"/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作出</w:t>
            </w:r>
            <w:proofErr w:type="gramEnd"/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更改补充数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480F8D">
        <w:trPr>
          <w:trHeight w:hRule="exact" w:val="545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　　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8.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告知通过其他途径办理数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505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黑体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黑体简体" w:hAnsi="Times New Roman" w:cs="Times New Roman"/>
                <w:b/>
                <w:color w:val="000000"/>
                <w:sz w:val="24"/>
              </w:rPr>
              <w:t>四、行政复议数量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  <w:r w:rsidR="004B3100">
              <w:rPr>
                <w:rFonts w:ascii="Times New Roman" w:hAnsi="Times New Roman" w:cs="Times New Roman" w:hint="eastAsia"/>
                <w:b/>
                <w:color w:val="000000"/>
                <w:sz w:val="24"/>
              </w:rPr>
              <w:t>0</w:t>
            </w:r>
          </w:p>
        </w:tc>
      </w:tr>
      <w:tr w:rsidR="001C5CF4" w:rsidTr="00B156B0">
        <w:trPr>
          <w:trHeight w:hRule="exact" w:val="505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（一）维持具体行政行为数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475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（二）被依法纠错数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550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lastRenderedPageBreak/>
              <w:t xml:space="preserve">　　（三）其他情形数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505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黑体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黑体简体" w:hAnsi="Times New Roman" w:cs="Times New Roman"/>
                <w:b/>
                <w:color w:val="000000"/>
                <w:sz w:val="24"/>
              </w:rPr>
              <w:t>五、行政诉讼数量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  <w:r w:rsidR="007340B6">
              <w:rPr>
                <w:rFonts w:ascii="Times New Roman" w:hAnsi="Times New Roman" w:cs="Times New Roman" w:hint="eastAsia"/>
                <w:b/>
                <w:color w:val="000000"/>
                <w:sz w:val="24"/>
              </w:rPr>
              <w:t>0</w:t>
            </w:r>
          </w:p>
        </w:tc>
      </w:tr>
      <w:tr w:rsidR="001C5CF4" w:rsidTr="00B156B0">
        <w:trPr>
          <w:trHeight w:hRule="exact" w:val="490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（一）维持具体行政行为或者驳回原告诉讼请求数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505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（二）被依法纠错数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480F8D">
        <w:trPr>
          <w:trHeight w:hRule="exact" w:val="498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（三）其他情形数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480F8D">
        <w:trPr>
          <w:trHeight w:hRule="exact" w:val="433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黑体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黑体简体" w:hAnsi="Times New Roman" w:cs="Times New Roman"/>
                <w:b/>
                <w:color w:val="000000"/>
                <w:sz w:val="24"/>
              </w:rPr>
              <w:t>六、被举报投诉数量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  <w:r w:rsidR="007340B6">
              <w:rPr>
                <w:rFonts w:ascii="Times New Roman" w:hAnsi="Times New Roman" w:cs="Times New Roman" w:hint="eastAsia"/>
                <w:b/>
                <w:color w:val="000000"/>
                <w:sz w:val="24"/>
              </w:rPr>
              <w:t>0</w:t>
            </w:r>
          </w:p>
        </w:tc>
      </w:tr>
      <w:tr w:rsidR="001C5CF4" w:rsidTr="00B156B0">
        <w:trPr>
          <w:trHeight w:hRule="exact" w:val="515"/>
          <w:jc w:val="center"/>
        </w:trPr>
        <w:tc>
          <w:tcPr>
            <w:tcW w:w="634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（一）维持具体行政行为数</w:t>
            </w:r>
          </w:p>
        </w:tc>
        <w:tc>
          <w:tcPr>
            <w:tcW w:w="115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1C5CF4" w:rsidTr="00B156B0">
        <w:trPr>
          <w:trHeight w:hRule="exact" w:val="485"/>
          <w:jc w:val="center"/>
        </w:trPr>
        <w:tc>
          <w:tcPr>
            <w:tcW w:w="634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（二）被纠错数</w:t>
            </w:r>
          </w:p>
        </w:tc>
        <w:tc>
          <w:tcPr>
            <w:tcW w:w="115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1C5CF4" w:rsidTr="00B156B0">
        <w:trPr>
          <w:trHeight w:hRule="exact" w:val="530"/>
          <w:jc w:val="center"/>
        </w:trPr>
        <w:tc>
          <w:tcPr>
            <w:tcW w:w="634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（三）其他情形数</w:t>
            </w:r>
          </w:p>
        </w:tc>
        <w:tc>
          <w:tcPr>
            <w:tcW w:w="115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</w:p>
        </w:tc>
        <w:tc>
          <w:tcPr>
            <w:tcW w:w="12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1C5CF4" w:rsidTr="00B156B0">
        <w:trPr>
          <w:trHeight w:hRule="exact" w:val="530"/>
          <w:jc w:val="center"/>
        </w:trPr>
        <w:tc>
          <w:tcPr>
            <w:tcW w:w="634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黑体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黑体简体" w:hAnsi="Times New Roman" w:cs="Times New Roman"/>
                <w:b/>
                <w:color w:val="000000"/>
                <w:sz w:val="24"/>
              </w:rPr>
              <w:t>七、向图书馆、档案馆等查阅场所报送信息数</w:t>
            </w:r>
          </w:p>
        </w:tc>
        <w:tc>
          <w:tcPr>
            <w:tcW w:w="115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条</w:t>
            </w:r>
          </w:p>
        </w:tc>
        <w:tc>
          <w:tcPr>
            <w:tcW w:w="12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7340B6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4"/>
              </w:rPr>
              <w:t>0</w:t>
            </w:r>
          </w:p>
        </w:tc>
      </w:tr>
      <w:tr w:rsidR="001C5CF4" w:rsidTr="00480F8D">
        <w:trPr>
          <w:trHeight w:hRule="exact" w:val="479"/>
          <w:jc w:val="center"/>
        </w:trPr>
        <w:tc>
          <w:tcPr>
            <w:tcW w:w="634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（一）纸质文件数</w:t>
            </w:r>
          </w:p>
        </w:tc>
        <w:tc>
          <w:tcPr>
            <w:tcW w:w="115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条</w:t>
            </w:r>
          </w:p>
        </w:tc>
        <w:tc>
          <w:tcPr>
            <w:tcW w:w="12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1C5CF4" w:rsidTr="00480F8D">
        <w:trPr>
          <w:trHeight w:hRule="exact" w:val="429"/>
          <w:jc w:val="center"/>
        </w:trPr>
        <w:tc>
          <w:tcPr>
            <w:tcW w:w="634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（二）电子文件数</w:t>
            </w:r>
          </w:p>
        </w:tc>
        <w:tc>
          <w:tcPr>
            <w:tcW w:w="115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条</w:t>
            </w:r>
          </w:p>
        </w:tc>
        <w:tc>
          <w:tcPr>
            <w:tcW w:w="12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1C5CF4" w:rsidTr="00B156B0">
        <w:trPr>
          <w:trHeight w:hRule="exact" w:val="545"/>
          <w:jc w:val="center"/>
        </w:trPr>
        <w:tc>
          <w:tcPr>
            <w:tcW w:w="634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黑体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黑体简体" w:hAnsi="Times New Roman" w:cs="Times New Roman"/>
                <w:b/>
                <w:color w:val="000000"/>
                <w:sz w:val="24"/>
              </w:rPr>
              <w:t>八、设置政府信息查阅点数</w:t>
            </w:r>
          </w:p>
        </w:tc>
        <w:tc>
          <w:tcPr>
            <w:tcW w:w="115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idowControl/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idowControl/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1C5CF4" w:rsidTr="00480F8D">
        <w:trPr>
          <w:trHeight w:hRule="exact" w:val="442"/>
          <w:jc w:val="center"/>
        </w:trPr>
        <w:tc>
          <w:tcPr>
            <w:tcW w:w="634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（一）市政府各部门、单位</w:t>
            </w:r>
          </w:p>
        </w:tc>
        <w:tc>
          <w:tcPr>
            <w:tcW w:w="115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1C5CF4" w:rsidTr="00480F8D">
        <w:trPr>
          <w:trHeight w:hRule="exact" w:val="434"/>
          <w:jc w:val="center"/>
        </w:trPr>
        <w:tc>
          <w:tcPr>
            <w:tcW w:w="634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（二）各镇人民政府、街道办事处</w:t>
            </w:r>
          </w:p>
        </w:tc>
        <w:tc>
          <w:tcPr>
            <w:tcW w:w="115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1C5CF4" w:rsidTr="00480F8D">
        <w:trPr>
          <w:trHeight w:hRule="exact" w:val="427"/>
          <w:jc w:val="center"/>
        </w:trPr>
        <w:tc>
          <w:tcPr>
            <w:tcW w:w="634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黑体简体" w:hAnsi="Times New Roman" w:cs="Times New Roman"/>
                <w:b/>
                <w:color w:val="000000"/>
                <w:sz w:val="24"/>
              </w:rPr>
              <w:t>九、查阅点接待人数</w:t>
            </w:r>
          </w:p>
        </w:tc>
        <w:tc>
          <w:tcPr>
            <w:tcW w:w="115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idowControl/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次</w:t>
            </w:r>
          </w:p>
        </w:tc>
        <w:tc>
          <w:tcPr>
            <w:tcW w:w="12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idowControl/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1C5CF4" w:rsidTr="00B156B0">
        <w:trPr>
          <w:trHeight w:hRule="exact" w:val="530"/>
          <w:jc w:val="center"/>
        </w:trPr>
        <w:tc>
          <w:tcPr>
            <w:tcW w:w="634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（一）市政府各部门、单位</w:t>
            </w:r>
          </w:p>
        </w:tc>
        <w:tc>
          <w:tcPr>
            <w:tcW w:w="115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次</w:t>
            </w:r>
          </w:p>
        </w:tc>
        <w:tc>
          <w:tcPr>
            <w:tcW w:w="12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idowControl/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1C5CF4" w:rsidTr="00B156B0">
        <w:trPr>
          <w:trHeight w:hRule="exact" w:val="540"/>
          <w:jc w:val="center"/>
        </w:trPr>
        <w:tc>
          <w:tcPr>
            <w:tcW w:w="6346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（二）各镇人民政府、街道办事处</w:t>
            </w:r>
          </w:p>
        </w:tc>
        <w:tc>
          <w:tcPr>
            <w:tcW w:w="1150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次</w:t>
            </w:r>
          </w:p>
        </w:tc>
        <w:tc>
          <w:tcPr>
            <w:tcW w:w="1220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idowControl/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1C5CF4" w:rsidTr="00B156B0">
        <w:trPr>
          <w:trHeight w:hRule="exact" w:val="685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黑体简体" w:hAnsi="Times New Roman" w:cs="Times New Roman"/>
                <w:b/>
                <w:color w:val="000000"/>
                <w:sz w:val="24"/>
              </w:rPr>
              <w:t>十、机构建设和保障经费情况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B156B0">
        <w:trPr>
          <w:trHeight w:hRule="exact" w:val="505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（一）政府信息公开工作专门机构数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480F8D">
        <w:trPr>
          <w:trHeight w:hRule="exact" w:val="570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（二）设置政府信息公开查阅点数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480F8D">
        <w:trPr>
          <w:trHeight w:hRule="exact" w:val="564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（三）从事政府信息公开工作人员数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人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  <w:r w:rsidR="007340B6">
              <w:rPr>
                <w:rFonts w:ascii="Times New Roman" w:hAnsi="Times New Roman" w:cs="Times New Roman" w:hint="eastAsia"/>
                <w:b/>
                <w:color w:val="000000"/>
                <w:sz w:val="24"/>
              </w:rPr>
              <w:t>2</w:t>
            </w:r>
          </w:p>
        </w:tc>
      </w:tr>
      <w:tr w:rsidR="001C5CF4" w:rsidTr="00480F8D">
        <w:trPr>
          <w:trHeight w:val="528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w w:val="90"/>
                <w:sz w:val="24"/>
              </w:rPr>
              <w:t>1.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w w:val="90"/>
                <w:sz w:val="24"/>
              </w:rPr>
              <w:t>专职人员数（不包括政府公报及政府网站工作人员数）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人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</w:p>
        </w:tc>
      </w:tr>
      <w:tr w:rsidR="001C5CF4" w:rsidTr="00480F8D">
        <w:trPr>
          <w:trHeight w:hRule="exact" w:val="452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　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兼职人员数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人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  <w:r w:rsidR="007340B6">
              <w:rPr>
                <w:rFonts w:ascii="Times New Roman" w:hAnsi="Times New Roman" w:cs="Times New Roman" w:hint="eastAsia"/>
                <w:b/>
                <w:color w:val="000000"/>
                <w:sz w:val="24"/>
              </w:rPr>
              <w:t>2</w:t>
            </w:r>
          </w:p>
        </w:tc>
      </w:tr>
      <w:tr w:rsidR="001C5CF4" w:rsidTr="00480F8D">
        <w:trPr>
          <w:trHeight w:val="952"/>
          <w:jc w:val="center"/>
        </w:trPr>
        <w:tc>
          <w:tcPr>
            <w:tcW w:w="634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 xml:space="preserve">　　（四）政府信息公开专项经费（不包括用于政府公报编辑管理及政府网站建设维护等方面的经费）</w:t>
            </w:r>
          </w:p>
        </w:tc>
        <w:tc>
          <w:tcPr>
            <w:tcW w:w="115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万元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5CF4" w:rsidRDefault="001C5CF4" w:rsidP="00B156B0">
            <w:pPr>
              <w:wordWrap w:val="0"/>
              <w:overflowPunct w:val="0"/>
              <w:spacing w:line="46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　</w:t>
            </w:r>
            <w:r w:rsidR="007340B6">
              <w:rPr>
                <w:rFonts w:ascii="Times New Roman" w:hAnsi="Times New Roman" w:cs="Times New Roman" w:hint="eastAsia"/>
                <w:b/>
                <w:color w:val="000000"/>
                <w:sz w:val="24"/>
              </w:rPr>
              <w:t>0</w:t>
            </w:r>
          </w:p>
        </w:tc>
      </w:tr>
    </w:tbl>
    <w:p w:rsidR="00897213" w:rsidRPr="001C5CF4" w:rsidRDefault="001C5CF4" w:rsidP="00480F8D">
      <w:pPr>
        <w:wordWrap w:val="0"/>
        <w:overflowPunct w:val="0"/>
        <w:spacing w:line="580" w:lineRule="exact"/>
        <w:rPr>
          <w:rFonts w:ascii="Times New Roman" w:eastAsia="方正仿宋简体" w:hAnsi="Times New Roman" w:cs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方正黑体简体" w:hAnsi="Times New Roman" w:cs="Times New Roman"/>
          <w:b/>
          <w:color w:val="000000"/>
          <w:sz w:val="24"/>
        </w:rPr>
        <w:t>注：</w:t>
      </w:r>
      <w:r>
        <w:rPr>
          <w:rFonts w:ascii="Times New Roman" w:hAnsi="Times New Roman" w:cs="Times New Roman"/>
          <w:b/>
          <w:color w:val="000000"/>
          <w:sz w:val="24"/>
        </w:rPr>
        <w:t>各子栏目数总数要等于总栏目数量</w:t>
      </w:r>
    </w:p>
    <w:sectPr w:rsidR="00897213" w:rsidRPr="001C5CF4" w:rsidSect="00370795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DE4" w:rsidRDefault="008B7DE4" w:rsidP="00997313">
      <w:r>
        <w:separator/>
      </w:r>
    </w:p>
  </w:endnote>
  <w:endnote w:type="continuationSeparator" w:id="0">
    <w:p w:rsidR="008B7DE4" w:rsidRDefault="008B7DE4" w:rsidP="0099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497525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370795" w:rsidRDefault="00370795">
        <w:pPr>
          <w:pStyle w:val="a4"/>
          <w:jc w:val="right"/>
        </w:pPr>
        <w:r w:rsidRPr="00370795">
          <w:rPr>
            <w:rFonts w:ascii="宋体" w:eastAsia="宋体" w:hAnsi="宋体"/>
            <w:sz w:val="28"/>
            <w:szCs w:val="28"/>
          </w:rPr>
          <w:fldChar w:fldCharType="begin"/>
        </w:r>
        <w:r w:rsidRPr="00370795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70795">
          <w:rPr>
            <w:rFonts w:ascii="宋体" w:eastAsia="宋体" w:hAnsi="宋体"/>
            <w:sz w:val="28"/>
            <w:szCs w:val="28"/>
          </w:rPr>
          <w:fldChar w:fldCharType="separate"/>
        </w:r>
        <w:r w:rsidR="004B09FA" w:rsidRPr="004B09F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4B09FA">
          <w:rPr>
            <w:rFonts w:ascii="宋体" w:eastAsia="宋体" w:hAnsi="宋体"/>
            <w:noProof/>
            <w:sz w:val="28"/>
            <w:szCs w:val="28"/>
          </w:rPr>
          <w:t xml:space="preserve"> 5 -</w:t>
        </w:r>
        <w:r w:rsidRPr="00370795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370795" w:rsidRDefault="003707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DE4" w:rsidRDefault="008B7DE4" w:rsidP="00997313">
      <w:r>
        <w:separator/>
      </w:r>
    </w:p>
  </w:footnote>
  <w:footnote w:type="continuationSeparator" w:id="0">
    <w:p w:rsidR="008B7DE4" w:rsidRDefault="008B7DE4" w:rsidP="00997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7969"/>
    <w:multiLevelType w:val="hybridMultilevel"/>
    <w:tmpl w:val="FE743F8C"/>
    <w:lvl w:ilvl="0" w:tplc="E0F0F62E">
      <w:start w:val="1"/>
      <w:numFmt w:val="japaneseCounting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">
    <w:nsid w:val="3F293E69"/>
    <w:multiLevelType w:val="hybridMultilevel"/>
    <w:tmpl w:val="56349FB0"/>
    <w:lvl w:ilvl="0" w:tplc="A57E7C2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357"/>
    <w:rsid w:val="00017C03"/>
    <w:rsid w:val="000D6157"/>
    <w:rsid w:val="00112F5D"/>
    <w:rsid w:val="00165083"/>
    <w:rsid w:val="00182CE7"/>
    <w:rsid w:val="0019180B"/>
    <w:rsid w:val="001B157C"/>
    <w:rsid w:val="001C5CF4"/>
    <w:rsid w:val="0022243A"/>
    <w:rsid w:val="002676DA"/>
    <w:rsid w:val="00276102"/>
    <w:rsid w:val="002827E9"/>
    <w:rsid w:val="002C0A7D"/>
    <w:rsid w:val="00303652"/>
    <w:rsid w:val="00303722"/>
    <w:rsid w:val="003059FA"/>
    <w:rsid w:val="00351F53"/>
    <w:rsid w:val="00370795"/>
    <w:rsid w:val="00390217"/>
    <w:rsid w:val="003D6C07"/>
    <w:rsid w:val="00405276"/>
    <w:rsid w:val="00480F8D"/>
    <w:rsid w:val="004B09FA"/>
    <w:rsid w:val="004B3100"/>
    <w:rsid w:val="004D0C04"/>
    <w:rsid w:val="004D207C"/>
    <w:rsid w:val="005706F1"/>
    <w:rsid w:val="005B4C95"/>
    <w:rsid w:val="005C041D"/>
    <w:rsid w:val="00616C6F"/>
    <w:rsid w:val="0064335B"/>
    <w:rsid w:val="006E5456"/>
    <w:rsid w:val="007340B6"/>
    <w:rsid w:val="007359E3"/>
    <w:rsid w:val="007C0365"/>
    <w:rsid w:val="007C15F3"/>
    <w:rsid w:val="007F6FDB"/>
    <w:rsid w:val="00830D09"/>
    <w:rsid w:val="00841373"/>
    <w:rsid w:val="008417DB"/>
    <w:rsid w:val="00897213"/>
    <w:rsid w:val="00897EE3"/>
    <w:rsid w:val="008A3AB7"/>
    <w:rsid w:val="008B7DE4"/>
    <w:rsid w:val="008F2B55"/>
    <w:rsid w:val="0090634C"/>
    <w:rsid w:val="009358E3"/>
    <w:rsid w:val="0098747A"/>
    <w:rsid w:val="00997313"/>
    <w:rsid w:val="00A0729C"/>
    <w:rsid w:val="00A8690B"/>
    <w:rsid w:val="00AE1C1D"/>
    <w:rsid w:val="00B00357"/>
    <w:rsid w:val="00B95714"/>
    <w:rsid w:val="00BA4C18"/>
    <w:rsid w:val="00BD649B"/>
    <w:rsid w:val="00C24D3D"/>
    <w:rsid w:val="00C25036"/>
    <w:rsid w:val="00CD7D6C"/>
    <w:rsid w:val="00CF3A73"/>
    <w:rsid w:val="00D20A78"/>
    <w:rsid w:val="00DC6AD2"/>
    <w:rsid w:val="00E42A80"/>
    <w:rsid w:val="00EB6153"/>
    <w:rsid w:val="00F6511A"/>
    <w:rsid w:val="00F83C1D"/>
    <w:rsid w:val="00F9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3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7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7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7313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9973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F91F43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897EE3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1C5CF4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3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7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7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7313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9973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F91F43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897EE3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1C5CF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1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54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92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89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7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697539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9F78D-D9C0-4236-B198-2063F31B5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638</Words>
  <Characters>3641</Characters>
  <Application>Microsoft Office Word</Application>
  <DocSecurity>0</DocSecurity>
  <Lines>30</Lines>
  <Paragraphs>8</Paragraphs>
  <ScaleCrop>false</ScaleCrop>
  <Company>shendu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152</cp:revision>
  <dcterms:created xsi:type="dcterms:W3CDTF">2018-01-18T05:51:00Z</dcterms:created>
  <dcterms:modified xsi:type="dcterms:W3CDTF">2019-07-19T09:13:00Z</dcterms:modified>
</cp:coreProperties>
</file>