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auto"/>
          <w:spacing w:val="0"/>
          <w:sz w:val="44"/>
          <w:szCs w:val="44"/>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b w:val="0"/>
          <w:bCs/>
          <w:i w:val="0"/>
          <w:caps w:val="0"/>
          <w:color w:val="auto"/>
          <w:spacing w:val="0"/>
          <w:sz w:val="44"/>
          <w:szCs w:val="44"/>
          <w:shd w:val="clear" w:fill="FFFFFF"/>
          <w:lang w:val="en-US" w:eastAsia="zh-CN"/>
        </w:rPr>
        <w:t>曲阜市金融发展服务中心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auto"/>
          <w:spacing w:val="0"/>
          <w:sz w:val="44"/>
          <w:szCs w:val="44"/>
        </w:rPr>
      </w:pPr>
      <w:r>
        <w:rPr>
          <w:rFonts w:hint="eastAsia" w:ascii="方正小标宋简体" w:hAnsi="方正小标宋简体" w:eastAsia="方正小标宋简体" w:cs="方正小标宋简体"/>
          <w:b w:val="0"/>
          <w:bCs/>
          <w:i w:val="0"/>
          <w:caps w:val="0"/>
          <w:color w:val="auto"/>
          <w:spacing w:val="-17"/>
          <w:sz w:val="44"/>
          <w:szCs w:val="44"/>
          <w:shd w:val="clear" w:fill="FFFFFF"/>
          <w:lang w:val="en-US" w:eastAsia="zh-CN"/>
        </w:rPr>
        <w:t>2022年</w:t>
      </w:r>
      <w:r>
        <w:rPr>
          <w:rFonts w:hint="eastAsia" w:ascii="方正小标宋简体" w:hAnsi="方正小标宋简体" w:eastAsia="方正小标宋简体" w:cs="方正小标宋简体"/>
          <w:b w:val="0"/>
          <w:bCs/>
          <w:i w:val="0"/>
          <w:caps w:val="0"/>
          <w:color w:val="auto"/>
          <w:spacing w:val="-17"/>
          <w:sz w:val="44"/>
          <w:szCs w:val="44"/>
          <w:shd w:val="clear" w:fill="FFFFFF"/>
        </w:rPr>
        <w:t>政府信息公开工作</w:t>
      </w:r>
      <w:r>
        <w:rPr>
          <w:rFonts w:hint="eastAsia" w:ascii="方正小标宋简体" w:hAnsi="方正小标宋简体" w:eastAsia="方正小标宋简体" w:cs="方正小标宋简体"/>
          <w:b w:val="0"/>
          <w:bCs/>
          <w:i w:val="0"/>
          <w:caps w:val="0"/>
          <w:color w:val="auto"/>
          <w:spacing w:val="0"/>
          <w:sz w:val="44"/>
          <w:szCs w:val="44"/>
          <w:shd w:val="clear" w:fill="FFFFFF"/>
        </w:rPr>
        <w:t>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20" w:lineRule="exact"/>
        <w:ind w:left="0" w:right="0" w:firstLine="420"/>
        <w:jc w:val="both"/>
        <w:textAlignment w:val="auto"/>
        <w:rPr>
          <w:rFonts w:hint="eastAsia" w:ascii="宋体" w:hAnsi="宋体" w:eastAsia="宋体" w:cs="宋体"/>
          <w:i w:val="0"/>
          <w:caps w:val="0"/>
          <w:color w:val="auto"/>
          <w:spacing w:val="0"/>
          <w:sz w:val="24"/>
          <w:szCs w:val="24"/>
        </w:rPr>
      </w:pPr>
    </w:p>
    <w:p>
      <w:pPr>
        <w:keepNext w:val="0"/>
        <w:keepLines w:val="0"/>
        <w:pageBreakBefore w:val="0"/>
        <w:kinsoku/>
        <w:wordWrap/>
        <w:overflowPunct/>
        <w:topLinePunct w:val="0"/>
        <w:autoSpaceDE/>
        <w:autoSpaceDN/>
        <w:bidi w:val="0"/>
        <w:spacing w:line="520" w:lineRule="exact"/>
        <w:ind w:right="-105" w:rightChars="-50" w:firstLine="643" w:firstLineChars="200"/>
        <w:textAlignment w:val="auto"/>
        <w:rPr>
          <w:rFonts w:hint="default" w:ascii="Times New Roman" w:hAnsi="Times New Roman" w:eastAsia="方正仿宋简体" w:cs="Times New Roman"/>
          <w:b/>
          <w:color w:val="auto"/>
          <w:sz w:val="32"/>
          <w:szCs w:val="32"/>
        </w:rPr>
      </w:pPr>
    </w:p>
    <w:p>
      <w:pPr>
        <w:keepNext w:val="0"/>
        <w:keepLines w:val="0"/>
        <w:pageBreakBefore w:val="0"/>
        <w:kinsoku/>
        <w:wordWrap/>
        <w:overflowPunct/>
        <w:topLinePunct w:val="0"/>
        <w:autoSpaceDE/>
        <w:autoSpaceDN/>
        <w:bidi w:val="0"/>
        <w:spacing w:line="520" w:lineRule="exact"/>
        <w:ind w:right="-105" w:rightChars="-50" w:firstLine="643" w:firstLineChars="200"/>
        <w:textAlignment w:val="auto"/>
        <w:rPr>
          <w:rFonts w:hint="default" w:ascii="Times New Roman" w:hAnsi="Times New Roman" w:eastAsia="方正仿宋简体" w:cs="Times New Roman"/>
          <w:b/>
          <w:color w:val="auto"/>
          <w:spacing w:val="-11"/>
          <w:sz w:val="32"/>
          <w:szCs w:val="32"/>
        </w:rPr>
      </w:pPr>
      <w:r>
        <w:rPr>
          <w:rFonts w:hint="default" w:ascii="Times New Roman" w:hAnsi="Times New Roman" w:eastAsia="方正仿宋简体" w:cs="Times New Roman"/>
          <w:b/>
          <w:color w:val="auto"/>
          <w:sz w:val="32"/>
          <w:szCs w:val="32"/>
        </w:rPr>
        <w:t>本报告由</w:t>
      </w:r>
      <w:r>
        <w:rPr>
          <w:rFonts w:hint="eastAsia" w:ascii="Times New Roman" w:hAnsi="Times New Roman" w:eastAsia="方正仿宋简体" w:cs="Times New Roman"/>
          <w:b/>
          <w:color w:val="auto"/>
          <w:kern w:val="0"/>
          <w:sz w:val="32"/>
          <w:szCs w:val="32"/>
          <w:lang w:val="en-US" w:eastAsia="zh-CN" w:bidi="ar"/>
        </w:rPr>
        <w:t>曲阜市金融发展服务中心</w:t>
      </w:r>
      <w:r>
        <w:rPr>
          <w:rFonts w:hint="default" w:ascii="Times New Roman" w:hAnsi="Times New Roman" w:eastAsia="方正仿宋简体" w:cs="Times New Roman"/>
          <w:b/>
          <w:color w:val="auto"/>
          <w:sz w:val="32"/>
          <w:szCs w:val="32"/>
        </w:rPr>
        <w:t>按照《中华人民共和国政府信息公开条例》（以下简称《条例》）和《中华人民共和国政府信息</w:t>
      </w:r>
      <w:r>
        <w:rPr>
          <w:rFonts w:hint="default" w:ascii="Times New Roman" w:hAnsi="Times New Roman" w:eastAsia="方正仿宋简体" w:cs="Times New Roman"/>
          <w:b/>
          <w:color w:val="auto"/>
          <w:spacing w:val="-11"/>
          <w:sz w:val="32"/>
          <w:szCs w:val="32"/>
        </w:rPr>
        <w:t>公开工作年度报告格式》（国办公开办函〔2021〕30号）要求编制。</w:t>
      </w:r>
    </w:p>
    <w:p>
      <w:pPr>
        <w:keepNext w:val="0"/>
        <w:keepLines w:val="0"/>
        <w:pageBreakBefore w:val="0"/>
        <w:kinsoku/>
        <w:wordWrap/>
        <w:overflowPunct/>
        <w:topLinePunct w:val="0"/>
        <w:autoSpaceDE/>
        <w:autoSpaceDN/>
        <w:bidi w:val="0"/>
        <w:spacing w:line="520" w:lineRule="exact"/>
        <w:ind w:right="-105" w:rightChars="-50" w:firstLine="643"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kinsoku/>
        <w:wordWrap/>
        <w:overflowPunct/>
        <w:topLinePunct w:val="0"/>
        <w:autoSpaceDE/>
        <w:autoSpaceDN/>
        <w:bidi w:val="0"/>
        <w:spacing w:line="520" w:lineRule="exact"/>
        <w:ind w:right="-105" w:rightChars="-50" w:firstLine="643" w:firstLineChars="200"/>
        <w:textAlignment w:val="auto"/>
        <w:rPr>
          <w:rFonts w:hint="eastAsia" w:ascii="宋体" w:hAnsi="宋体" w:eastAsia="宋体" w:cs="宋体"/>
          <w:i w:val="0"/>
          <w:caps w:val="0"/>
          <w:color w:val="auto"/>
          <w:spacing w:val="0"/>
          <w:sz w:val="24"/>
          <w:szCs w:val="24"/>
        </w:rPr>
      </w:pPr>
      <w:r>
        <w:rPr>
          <w:rFonts w:hint="default" w:ascii="Times New Roman" w:hAnsi="Times New Roman" w:eastAsia="方正仿宋简体" w:cs="Times New Roman"/>
          <w:b/>
          <w:color w:val="auto"/>
          <w:sz w:val="32"/>
          <w:szCs w:val="32"/>
        </w:rPr>
        <w:t>本报告所列数据的统计期限自2022年1月1日起至2022年12月31日止。本报告电子版可在“中国·</w:t>
      </w:r>
      <w:r>
        <w:rPr>
          <w:rFonts w:hint="eastAsia" w:eastAsia="方正仿宋简体" w:cs="Times New Roman"/>
          <w:b/>
          <w:color w:val="auto"/>
          <w:sz w:val="32"/>
          <w:szCs w:val="32"/>
          <w:lang w:val="en-US" w:eastAsia="zh-CN"/>
        </w:rPr>
        <w:t>曲阜</w:t>
      </w:r>
      <w:r>
        <w:rPr>
          <w:rFonts w:hint="default" w:ascii="Times New Roman" w:hAnsi="Times New Roman" w:eastAsia="方正仿宋简体" w:cs="Times New Roman"/>
          <w:b/>
          <w:color w:val="auto"/>
          <w:sz w:val="32"/>
          <w:szCs w:val="32"/>
        </w:rPr>
        <w:t>”政府门户网站（</w:t>
      </w:r>
      <w:r>
        <w:rPr>
          <w:rFonts w:hint="default" w:ascii="Times New Roman" w:hAnsi="Times New Roman" w:eastAsia="方正仿宋简体" w:cs="Times New Roman"/>
          <w:b/>
          <w:color w:val="auto"/>
          <w:sz w:val="32"/>
          <w:szCs w:val="32"/>
          <w:lang w:val="en-US" w:eastAsia="zh-CN"/>
        </w:rPr>
        <w:t>www.qufu.gov.cn</w:t>
      </w:r>
      <w:r>
        <w:rPr>
          <w:rFonts w:hint="default" w:ascii="Times New Roman" w:hAnsi="Times New Roman" w:eastAsia="方正仿宋简体" w:cs="Times New Roman"/>
          <w:b/>
          <w:color w:val="auto"/>
          <w:sz w:val="32"/>
          <w:szCs w:val="32"/>
        </w:rPr>
        <w:t>）查阅或下载。如对本报告有疑问，请与</w:t>
      </w:r>
      <w:r>
        <w:rPr>
          <w:rFonts w:hint="eastAsia" w:ascii="Times New Roman" w:hAnsi="Times New Roman" w:eastAsia="方正仿宋简体" w:cs="Times New Roman"/>
          <w:b/>
          <w:color w:val="auto"/>
          <w:kern w:val="0"/>
          <w:sz w:val="32"/>
          <w:szCs w:val="32"/>
          <w:lang w:val="en-US" w:eastAsia="zh-CN" w:bidi="ar"/>
        </w:rPr>
        <w:t>曲阜市金融发展服务中心</w:t>
      </w:r>
      <w:r>
        <w:rPr>
          <w:rFonts w:hint="default" w:ascii="Times New Roman" w:hAnsi="Times New Roman" w:eastAsia="方正仿宋简体" w:cs="Times New Roman"/>
          <w:b/>
          <w:color w:val="auto"/>
          <w:sz w:val="32"/>
          <w:szCs w:val="32"/>
        </w:rPr>
        <w:t>联系（地址：</w:t>
      </w:r>
      <w:r>
        <w:rPr>
          <w:rFonts w:hint="eastAsia" w:ascii="Times New Roman" w:hAnsi="Times New Roman" w:eastAsia="方正仿宋简体" w:cs="Times New Roman"/>
          <w:b/>
          <w:color w:val="auto"/>
          <w:sz w:val="32"/>
          <w:szCs w:val="32"/>
          <w:lang w:eastAsia="zh-CN"/>
        </w:rPr>
        <w:t>舞雩台路</w:t>
      </w:r>
      <w:r>
        <w:rPr>
          <w:rFonts w:hint="eastAsia" w:ascii="Times New Roman" w:hAnsi="Times New Roman" w:eastAsia="方正仿宋简体" w:cs="Times New Roman"/>
          <w:b/>
          <w:color w:val="auto"/>
          <w:sz w:val="32"/>
          <w:szCs w:val="32"/>
          <w:lang w:val="en-US" w:eastAsia="zh-CN"/>
        </w:rPr>
        <w:t>7号</w:t>
      </w:r>
      <w:r>
        <w:rPr>
          <w:rFonts w:hint="default" w:ascii="Times New Roman" w:hAnsi="Times New Roman" w:eastAsia="方正仿宋简体" w:cs="Times New Roman"/>
          <w:b/>
          <w:color w:val="auto"/>
          <w:sz w:val="32"/>
          <w:szCs w:val="32"/>
        </w:rPr>
        <w:t>，联系电话：0537—</w:t>
      </w:r>
      <w:r>
        <w:rPr>
          <w:rFonts w:hint="eastAsia" w:ascii="Times New Roman" w:hAnsi="Times New Roman" w:eastAsia="方正仿宋简体" w:cs="Times New Roman"/>
          <w:b/>
          <w:color w:val="auto"/>
          <w:sz w:val="32"/>
          <w:szCs w:val="32"/>
          <w:lang w:val="en-US" w:eastAsia="zh-CN"/>
        </w:rPr>
        <w:t>4496615</w:t>
      </w:r>
      <w:r>
        <w:rPr>
          <w:rFonts w:hint="default" w:ascii="Times New Roman" w:hAnsi="Times New Roman" w:eastAsia="方正仿宋简体" w:cs="Times New Roman"/>
          <w:b/>
          <w:color w:val="auto"/>
          <w:sz w:val="32"/>
          <w:szCs w:val="32"/>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20" w:lineRule="exact"/>
        <w:ind w:left="0" w:right="0" w:firstLine="420"/>
        <w:jc w:val="both"/>
        <w:textAlignment w:val="auto"/>
        <w:rPr>
          <w:rFonts w:hint="eastAsia" w:ascii="黑体" w:hAnsi="黑体" w:eastAsia="黑体" w:cs="黑体"/>
          <w:i w:val="0"/>
          <w:caps w:val="0"/>
          <w:color w:val="auto"/>
          <w:spacing w:val="0"/>
          <w:sz w:val="32"/>
          <w:szCs w:val="32"/>
        </w:rPr>
      </w:pPr>
      <w:r>
        <w:rPr>
          <w:rFonts w:hint="eastAsia" w:ascii="黑体" w:hAnsi="黑体" w:eastAsia="黑体" w:cs="黑体"/>
          <w:b/>
          <w:i w:val="0"/>
          <w:caps w:val="0"/>
          <w:color w:val="auto"/>
          <w:spacing w:val="0"/>
          <w:sz w:val="32"/>
          <w:szCs w:val="32"/>
          <w:shd w:val="clear" w:fill="FFFFFF"/>
        </w:rPr>
        <w:t>一、总体情况</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方正仿宋简体" w:cs="Times New Roman"/>
          <w:b/>
          <w:color w:val="auto"/>
          <w:kern w:val="0"/>
          <w:sz w:val="32"/>
          <w:szCs w:val="32"/>
          <w:lang w:val="en-US" w:eastAsia="zh-CN" w:bidi="ar"/>
        </w:rPr>
        <w:t>20</w:t>
      </w:r>
      <w:r>
        <w:rPr>
          <w:rFonts w:hint="eastAsia" w:ascii="Times New Roman" w:hAnsi="Times New Roman" w:eastAsia="方正仿宋简体" w:cs="Times New Roman"/>
          <w:b/>
          <w:color w:val="auto"/>
          <w:kern w:val="0"/>
          <w:sz w:val="32"/>
          <w:szCs w:val="32"/>
          <w:lang w:val="en-US" w:eastAsia="zh-CN" w:bidi="ar"/>
        </w:rPr>
        <w:t>22</w:t>
      </w:r>
      <w:r>
        <w:rPr>
          <w:rFonts w:hint="default" w:ascii="Times New Roman" w:hAnsi="Times New Roman" w:eastAsia="方正仿宋简体" w:cs="Times New Roman"/>
          <w:b/>
          <w:color w:val="auto"/>
          <w:kern w:val="0"/>
          <w:sz w:val="32"/>
          <w:szCs w:val="32"/>
          <w:lang w:val="en-US" w:eastAsia="zh-CN" w:bidi="ar"/>
        </w:rPr>
        <w:t>年，</w:t>
      </w:r>
      <w:r>
        <w:rPr>
          <w:rFonts w:hint="eastAsia" w:ascii="Times New Roman" w:hAnsi="Times New Roman" w:eastAsia="方正仿宋简体" w:cs="Times New Roman"/>
          <w:b/>
          <w:color w:val="auto"/>
          <w:kern w:val="0"/>
          <w:sz w:val="32"/>
          <w:szCs w:val="32"/>
          <w:lang w:val="en-US" w:eastAsia="zh-CN" w:bidi="ar"/>
        </w:rPr>
        <w:t>曲阜市金融发展服务中心以习近平新时代中国特色社会主义思想为指导，认真学习贯彻党的二十大精神，依据《中华人民共和国政府信息公开条例》，认真贯彻各级有关文件精神，落实落细政府信息公开工作各项任务。</w:t>
      </w:r>
    </w:p>
    <w:p>
      <w:pPr>
        <w:keepNext w:val="0"/>
        <w:keepLines w:val="0"/>
        <w:pageBreakBefore w:val="0"/>
        <w:numPr>
          <w:ilvl w:val="0"/>
          <w:numId w:val="0"/>
        </w:numPr>
        <w:kinsoku/>
        <w:wordWrap/>
        <w:overflowPunct/>
        <w:topLinePunct w:val="0"/>
        <w:autoSpaceDE/>
        <w:autoSpaceDN/>
        <w:bidi w:val="0"/>
        <w:spacing w:line="520" w:lineRule="exact"/>
        <w:ind w:firstLine="643" w:firstLineChars="200"/>
        <w:textAlignment w:val="auto"/>
        <w:rPr>
          <w:rFonts w:hint="default" w:ascii="仿宋_GB2312" w:hAnsi="仿宋_GB2312" w:eastAsia="方正楷体简体" w:cs="仿宋_GB2312"/>
          <w:b/>
          <w:bCs/>
          <w:color w:val="auto"/>
          <w:sz w:val="32"/>
          <w:szCs w:val="32"/>
          <w:lang w:val="en-US" w:eastAsia="zh-CN"/>
        </w:rPr>
      </w:pPr>
      <w:r>
        <w:rPr>
          <w:rFonts w:hint="eastAsia" w:ascii="仿宋_GB2312" w:hAnsi="仿宋_GB2312" w:eastAsia="方正楷体简体" w:cs="仿宋_GB2312"/>
          <w:b/>
          <w:bCs/>
          <w:color w:val="auto"/>
          <w:sz w:val="32"/>
          <w:szCs w:val="32"/>
          <w:lang w:val="en-US" w:eastAsia="zh-CN"/>
        </w:rPr>
        <w:t>（一）主动公开情况</w:t>
      </w:r>
    </w:p>
    <w:p>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Times New Roman" w:hAnsi="Times New Roman" w:eastAsia="方正仿宋简体" w:cs="Times New Roman"/>
          <w:b/>
          <w:color w:val="auto"/>
          <w:kern w:val="0"/>
          <w:sz w:val="32"/>
          <w:szCs w:val="32"/>
          <w:lang w:val="en-US" w:eastAsia="zh-CN" w:bidi="ar"/>
        </w:rPr>
      </w:pPr>
      <w:r>
        <w:rPr>
          <w:rFonts w:hint="default" w:ascii="Times New Roman" w:hAnsi="Times New Roman" w:eastAsia="方正仿宋简体" w:cs="Times New Roman"/>
          <w:b/>
          <w:color w:val="auto"/>
          <w:kern w:val="0"/>
          <w:sz w:val="32"/>
          <w:szCs w:val="32"/>
          <w:lang w:val="en-US" w:eastAsia="zh-CN" w:bidi="ar"/>
        </w:rPr>
        <w:t>20</w:t>
      </w:r>
      <w:r>
        <w:rPr>
          <w:rFonts w:hint="eastAsia" w:ascii="Times New Roman" w:hAnsi="Times New Roman" w:eastAsia="方正仿宋简体" w:cs="Times New Roman"/>
          <w:b/>
          <w:color w:val="auto"/>
          <w:kern w:val="0"/>
          <w:sz w:val="32"/>
          <w:szCs w:val="32"/>
          <w:lang w:val="en-US" w:eastAsia="zh-CN" w:bidi="ar"/>
        </w:rPr>
        <w:t>22</w:t>
      </w:r>
      <w:r>
        <w:rPr>
          <w:rFonts w:hint="default" w:ascii="Times New Roman" w:hAnsi="Times New Roman" w:eastAsia="方正仿宋简体" w:cs="Times New Roman"/>
          <w:b/>
          <w:color w:val="auto"/>
          <w:kern w:val="0"/>
          <w:sz w:val="32"/>
          <w:szCs w:val="32"/>
          <w:lang w:val="en-US" w:eastAsia="zh-CN" w:bidi="ar"/>
        </w:rPr>
        <w:t>年，我中心通过曲阜市人民政府政务公开网站（</w:t>
      </w:r>
      <w:r>
        <w:rPr>
          <w:rFonts w:hint="default" w:ascii="Times New Roman" w:hAnsi="Times New Roman" w:eastAsia="宋体" w:cs="Times New Roman"/>
          <w:b/>
          <w:color w:val="auto"/>
          <w:kern w:val="0"/>
          <w:sz w:val="31"/>
          <w:szCs w:val="31"/>
          <w:lang w:val="en-US" w:eastAsia="zh-CN" w:bidi="ar"/>
        </w:rPr>
        <w:t>www.qufu.gov.cn</w:t>
      </w:r>
      <w:r>
        <w:rPr>
          <w:rFonts w:hint="eastAsia" w:ascii="Times New Roman" w:hAnsi="Times New Roman" w:eastAsia="方正仿宋简体" w:cs="Times New Roman"/>
          <w:b/>
          <w:color w:val="auto"/>
          <w:kern w:val="0"/>
          <w:sz w:val="32"/>
          <w:szCs w:val="32"/>
          <w:lang w:val="en-US" w:eastAsia="zh-CN" w:bidi="ar"/>
        </w:rPr>
        <w:fldChar w:fldCharType="begin"/>
      </w:r>
      <w:r>
        <w:rPr>
          <w:rFonts w:hint="eastAsia" w:ascii="Times New Roman" w:hAnsi="Times New Roman" w:eastAsia="方正仿宋简体" w:cs="Times New Roman"/>
          <w:b/>
          <w:color w:val="auto"/>
          <w:kern w:val="0"/>
          <w:sz w:val="32"/>
          <w:szCs w:val="32"/>
          <w:lang w:val="en-US" w:eastAsia="zh-CN" w:bidi="ar"/>
        </w:rPr>
        <w:instrText xml:space="preserve"> HYPERLINK "http://www.qufu.gov.cn/module/xxgk/xxgkAnnualReport.jsp?fbtime=2019&amp;area=12370881688263262L" </w:instrText>
      </w:r>
      <w:r>
        <w:rPr>
          <w:rFonts w:hint="eastAsia" w:ascii="Times New Roman" w:hAnsi="Times New Roman" w:eastAsia="方正仿宋简体" w:cs="Times New Roman"/>
          <w:b/>
          <w:color w:val="auto"/>
          <w:kern w:val="0"/>
          <w:sz w:val="32"/>
          <w:szCs w:val="32"/>
          <w:lang w:val="en-US" w:eastAsia="zh-CN" w:bidi="ar"/>
        </w:rPr>
        <w:fldChar w:fldCharType="separate"/>
      </w:r>
      <w:r>
        <w:rPr>
          <w:rFonts w:hint="eastAsia" w:ascii="Times New Roman" w:hAnsi="Times New Roman" w:eastAsia="方正仿宋简体" w:cs="Times New Roman"/>
          <w:b/>
          <w:color w:val="auto"/>
          <w:kern w:val="0"/>
          <w:sz w:val="32"/>
          <w:szCs w:val="32"/>
          <w:lang w:val="en-US" w:eastAsia="zh-CN" w:bidi="ar"/>
        </w:rPr>
        <w:fldChar w:fldCharType="end"/>
      </w:r>
      <w:r>
        <w:rPr>
          <w:rFonts w:hint="eastAsia" w:ascii="Times New Roman" w:hAnsi="Times New Roman" w:eastAsia="方正仿宋简体" w:cs="Times New Roman"/>
          <w:b/>
          <w:color w:val="auto"/>
          <w:kern w:val="0"/>
          <w:sz w:val="32"/>
          <w:szCs w:val="32"/>
          <w:lang w:val="en-US" w:eastAsia="zh-CN" w:bidi="ar"/>
        </w:rPr>
        <w:t>）政务公开栏目</w:t>
      </w:r>
      <w:r>
        <w:rPr>
          <w:rFonts w:hint="default" w:ascii="Times New Roman" w:hAnsi="Times New Roman" w:eastAsia="方正仿宋简体" w:cs="Times New Roman"/>
          <w:b/>
          <w:color w:val="auto"/>
          <w:kern w:val="0"/>
          <w:sz w:val="32"/>
          <w:szCs w:val="32"/>
          <w:lang w:val="en-US" w:eastAsia="zh-CN" w:bidi="ar"/>
        </w:rPr>
        <w:t>主动公开政府信息</w:t>
      </w:r>
      <w:r>
        <w:rPr>
          <w:rFonts w:hint="eastAsia" w:ascii="Times New Roman" w:hAnsi="Times New Roman" w:eastAsia="方正仿宋简体" w:cs="Times New Roman"/>
          <w:b/>
          <w:color w:val="auto"/>
          <w:kern w:val="0"/>
          <w:sz w:val="32"/>
          <w:szCs w:val="32"/>
          <w:lang w:val="en-US" w:eastAsia="zh-CN" w:bidi="ar"/>
        </w:rPr>
        <w:t>21</w:t>
      </w:r>
      <w:r>
        <w:rPr>
          <w:rFonts w:hint="default" w:ascii="Times New Roman" w:hAnsi="Times New Roman" w:eastAsia="方正仿宋简体" w:cs="Times New Roman"/>
          <w:b/>
          <w:color w:val="auto"/>
          <w:kern w:val="0"/>
          <w:sz w:val="32"/>
          <w:szCs w:val="32"/>
          <w:lang w:val="en-US" w:eastAsia="zh-CN" w:bidi="ar"/>
        </w:rPr>
        <w:t>件，其中，</w:t>
      </w:r>
      <w:r>
        <w:rPr>
          <w:rFonts w:hint="eastAsia" w:ascii="Times New Roman" w:hAnsi="Times New Roman" w:eastAsia="方正仿宋简体" w:cs="Times New Roman"/>
          <w:b/>
          <w:color w:val="auto"/>
          <w:kern w:val="0"/>
          <w:sz w:val="32"/>
          <w:szCs w:val="32"/>
          <w:lang w:val="en-US" w:eastAsia="zh-CN" w:bidi="ar"/>
        </w:rPr>
        <w:t>发布法规文件4件，</w:t>
      </w:r>
      <w:r>
        <w:rPr>
          <w:rFonts w:hint="default" w:ascii="Times New Roman" w:hAnsi="Times New Roman" w:eastAsia="方正仿宋简体" w:cs="Times New Roman"/>
          <w:b/>
          <w:color w:val="auto"/>
          <w:kern w:val="0"/>
          <w:sz w:val="32"/>
          <w:szCs w:val="32"/>
          <w:lang w:val="en-US" w:eastAsia="zh-CN" w:bidi="ar"/>
        </w:rPr>
        <w:t>政策解读</w:t>
      </w:r>
      <w:r>
        <w:rPr>
          <w:rFonts w:hint="eastAsia" w:ascii="Times New Roman" w:hAnsi="Times New Roman" w:eastAsia="方正仿宋简体" w:cs="Times New Roman"/>
          <w:b/>
          <w:color w:val="auto"/>
          <w:kern w:val="0"/>
          <w:sz w:val="32"/>
          <w:szCs w:val="32"/>
          <w:lang w:val="en-US" w:eastAsia="zh-CN" w:bidi="ar"/>
        </w:rPr>
        <w:t>2</w:t>
      </w:r>
      <w:r>
        <w:rPr>
          <w:rFonts w:hint="default" w:ascii="Times New Roman" w:hAnsi="Times New Roman" w:eastAsia="方正仿宋简体" w:cs="Times New Roman"/>
          <w:b/>
          <w:color w:val="auto"/>
          <w:kern w:val="0"/>
          <w:sz w:val="32"/>
          <w:szCs w:val="32"/>
          <w:lang w:val="en-US" w:eastAsia="zh-CN" w:bidi="ar"/>
        </w:rPr>
        <w:t>件</w:t>
      </w:r>
      <w:r>
        <w:rPr>
          <w:rFonts w:hint="eastAsia" w:ascii="Times New Roman" w:hAnsi="Times New Roman" w:eastAsia="方正仿宋简体" w:cs="Times New Roman"/>
          <w:b/>
          <w:color w:val="auto"/>
          <w:kern w:val="0"/>
          <w:sz w:val="32"/>
          <w:szCs w:val="32"/>
          <w:lang w:val="en-US" w:eastAsia="zh-CN" w:bidi="ar"/>
        </w:rPr>
        <w:t>，财政信息2件，政务公开</w:t>
      </w:r>
      <w:r>
        <w:rPr>
          <w:rFonts w:hint="default" w:ascii="Times New Roman" w:hAnsi="Times New Roman" w:eastAsia="方正仿宋简体" w:cs="Times New Roman"/>
          <w:b/>
          <w:color w:val="auto"/>
          <w:kern w:val="0"/>
          <w:sz w:val="32"/>
          <w:szCs w:val="32"/>
          <w:lang w:val="en-US" w:eastAsia="zh-CN" w:bidi="ar"/>
        </w:rPr>
        <w:t>业务培训2件，</w:t>
      </w:r>
      <w:r>
        <w:rPr>
          <w:rFonts w:hint="eastAsia" w:ascii="Times New Roman" w:hAnsi="Times New Roman" w:eastAsia="方正仿宋简体" w:cs="Times New Roman"/>
          <w:b/>
          <w:color w:val="auto"/>
          <w:kern w:val="0"/>
          <w:sz w:val="32"/>
          <w:szCs w:val="32"/>
          <w:lang w:val="en-US" w:eastAsia="zh-CN" w:bidi="ar"/>
        </w:rPr>
        <w:t>领导信息1件，基本信息1件，主要职责1件，内设机构1件</w:t>
      </w:r>
      <w:r>
        <w:rPr>
          <w:rFonts w:hint="default" w:ascii="Times New Roman" w:hAnsi="Times New Roman" w:eastAsia="方正仿宋简体" w:cs="Times New Roman"/>
          <w:b/>
          <w:color w:val="auto"/>
          <w:kern w:val="0"/>
          <w:sz w:val="32"/>
          <w:szCs w:val="32"/>
          <w:lang w:val="en-US" w:eastAsia="zh-CN" w:bidi="ar"/>
        </w:rPr>
        <w:t>，年度工作计划1件，主动公开基本目录1件</w:t>
      </w:r>
      <w:r>
        <w:rPr>
          <w:rFonts w:hint="eastAsia" w:ascii="Times New Roman" w:hAnsi="Times New Roman" w:eastAsia="方正仿宋简体" w:cs="Times New Roman"/>
          <w:b/>
          <w:color w:val="auto"/>
          <w:kern w:val="0"/>
          <w:sz w:val="32"/>
          <w:szCs w:val="32"/>
          <w:lang w:val="en-US" w:eastAsia="zh-CN" w:bidi="ar"/>
        </w:rPr>
        <w:t>，政务公开</w:t>
      </w:r>
      <w:r>
        <w:rPr>
          <w:rFonts w:hint="default" w:ascii="Times New Roman" w:hAnsi="Times New Roman" w:eastAsia="方正仿宋简体" w:cs="Times New Roman"/>
          <w:b/>
          <w:color w:val="auto"/>
          <w:kern w:val="0"/>
          <w:sz w:val="32"/>
          <w:szCs w:val="32"/>
          <w:lang w:val="en-US" w:eastAsia="zh-CN" w:bidi="ar"/>
        </w:rPr>
        <w:t>组织领导</w:t>
      </w:r>
      <w:r>
        <w:rPr>
          <w:rFonts w:hint="eastAsia" w:ascii="Times New Roman" w:hAnsi="Times New Roman" w:eastAsia="方正仿宋简体" w:cs="Times New Roman"/>
          <w:b/>
          <w:color w:val="auto"/>
          <w:kern w:val="0"/>
          <w:sz w:val="32"/>
          <w:szCs w:val="32"/>
          <w:lang w:val="en-US" w:eastAsia="zh-CN" w:bidi="ar"/>
        </w:rPr>
        <w:t>1</w:t>
      </w:r>
      <w:r>
        <w:rPr>
          <w:rFonts w:hint="default" w:ascii="Times New Roman" w:hAnsi="Times New Roman" w:eastAsia="方正仿宋简体" w:cs="Times New Roman"/>
          <w:b/>
          <w:color w:val="auto"/>
          <w:kern w:val="0"/>
          <w:sz w:val="32"/>
          <w:szCs w:val="32"/>
          <w:lang w:val="en-US" w:eastAsia="zh-CN" w:bidi="ar"/>
        </w:rPr>
        <w:t>件，</w:t>
      </w:r>
      <w:r>
        <w:rPr>
          <w:rFonts w:hint="eastAsia" w:ascii="Times New Roman" w:hAnsi="Times New Roman" w:eastAsia="方正仿宋简体" w:cs="Times New Roman"/>
          <w:b/>
          <w:color w:val="auto"/>
          <w:kern w:val="0"/>
          <w:sz w:val="32"/>
          <w:szCs w:val="32"/>
          <w:lang w:val="en-US" w:eastAsia="zh-CN" w:bidi="ar"/>
        </w:rPr>
        <w:t>政务公开</w:t>
      </w:r>
      <w:r>
        <w:rPr>
          <w:rFonts w:hint="default" w:ascii="Times New Roman" w:hAnsi="Times New Roman" w:eastAsia="方正仿宋简体" w:cs="Times New Roman"/>
          <w:b/>
          <w:color w:val="auto"/>
          <w:kern w:val="0"/>
          <w:sz w:val="32"/>
          <w:szCs w:val="32"/>
          <w:lang w:val="en-US" w:eastAsia="zh-CN" w:bidi="ar"/>
        </w:rPr>
        <w:t>工作推进1件</w:t>
      </w:r>
      <w:r>
        <w:rPr>
          <w:rFonts w:hint="eastAsia" w:ascii="Times New Roman" w:hAnsi="Times New Roman" w:eastAsia="方正仿宋简体" w:cs="Times New Roman"/>
          <w:b/>
          <w:color w:val="auto"/>
          <w:kern w:val="0"/>
          <w:sz w:val="32"/>
          <w:szCs w:val="32"/>
          <w:lang w:val="en-US" w:eastAsia="zh-CN" w:bidi="ar"/>
        </w:rPr>
        <w:t>，政协提案1件，修订</w:t>
      </w:r>
      <w:r>
        <w:rPr>
          <w:rFonts w:hint="default" w:ascii="Times New Roman" w:hAnsi="Times New Roman" w:eastAsia="方正仿宋简体" w:cs="Times New Roman"/>
          <w:b/>
          <w:color w:val="auto"/>
          <w:kern w:val="0"/>
          <w:sz w:val="32"/>
          <w:szCs w:val="32"/>
          <w:lang w:val="en-US" w:eastAsia="zh-CN" w:bidi="ar"/>
        </w:rPr>
        <w:t>信息公开指南1件，信息公开年报</w:t>
      </w:r>
      <w:r>
        <w:rPr>
          <w:rFonts w:hint="eastAsia" w:ascii="Times New Roman" w:hAnsi="Times New Roman" w:eastAsia="方正仿宋简体" w:cs="Times New Roman"/>
          <w:b/>
          <w:color w:val="auto"/>
          <w:kern w:val="0"/>
          <w:sz w:val="32"/>
          <w:szCs w:val="32"/>
          <w:lang w:val="en-US" w:eastAsia="zh-CN" w:bidi="ar"/>
        </w:rPr>
        <w:t>1</w:t>
      </w:r>
      <w:r>
        <w:rPr>
          <w:rFonts w:hint="default" w:ascii="Times New Roman" w:hAnsi="Times New Roman" w:eastAsia="方正仿宋简体" w:cs="Times New Roman"/>
          <w:b/>
          <w:color w:val="auto"/>
          <w:kern w:val="0"/>
          <w:sz w:val="32"/>
          <w:szCs w:val="32"/>
          <w:lang w:val="en-US" w:eastAsia="zh-CN" w:bidi="ar"/>
        </w:rPr>
        <w:t>件。以上信息均</w:t>
      </w:r>
      <w:r>
        <w:rPr>
          <w:rFonts w:hint="eastAsia" w:ascii="Times New Roman" w:hAnsi="Times New Roman" w:eastAsia="方正仿宋简体" w:cs="Times New Roman"/>
          <w:b/>
          <w:color w:val="auto"/>
          <w:kern w:val="0"/>
          <w:sz w:val="32"/>
          <w:szCs w:val="32"/>
          <w:lang w:val="en-US" w:eastAsia="zh-CN" w:bidi="ar"/>
        </w:rPr>
        <w:t>予以公开。</w:t>
      </w:r>
    </w:p>
    <w:p>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仿宋_GB2312" w:hAnsi="仿宋_GB2312" w:eastAsia="方正楷体简体" w:cs="仿宋_GB2312"/>
          <w:b/>
          <w:bCs/>
          <w:color w:val="auto"/>
          <w:sz w:val="32"/>
          <w:szCs w:val="32"/>
          <w:lang w:val="en-US" w:eastAsia="zh-CN"/>
        </w:rPr>
      </w:pPr>
      <w:r>
        <w:rPr>
          <w:rFonts w:hint="eastAsia" w:ascii="Times New Roman" w:hAnsi="Times New Roman" w:eastAsia="方正仿宋简体" w:cs="Times New Roman"/>
          <w:b/>
          <w:color w:val="auto"/>
          <w:kern w:val="0"/>
          <w:sz w:val="32"/>
          <w:szCs w:val="32"/>
          <w:lang w:val="en-US" w:eastAsia="zh-CN" w:bidi="ar"/>
        </w:rPr>
        <w:drawing>
          <wp:anchor distT="0" distB="0" distL="114300" distR="114300" simplePos="0" relativeHeight="251659264" behindDoc="0" locked="0" layoutInCell="1" allowOverlap="1">
            <wp:simplePos x="0" y="0"/>
            <wp:positionH relativeFrom="column">
              <wp:posOffset>61595</wp:posOffset>
            </wp:positionH>
            <wp:positionV relativeFrom="paragraph">
              <wp:posOffset>103505</wp:posOffset>
            </wp:positionV>
            <wp:extent cx="5080000" cy="4105910"/>
            <wp:effectExtent l="4445" t="4445" r="20955" b="2349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eastAsia" w:ascii="仿宋_GB2312" w:hAnsi="仿宋_GB2312" w:eastAsia="方正楷体简体" w:cs="仿宋_GB2312"/>
          <w:b/>
          <w:bCs/>
          <w:color w:val="auto"/>
          <w:sz w:val="32"/>
          <w:szCs w:val="32"/>
          <w:lang w:val="en-US" w:eastAsia="zh-CN"/>
        </w:rPr>
        <w:t>（二）依申请公开工作方面</w:t>
      </w:r>
    </w:p>
    <w:p>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Times New Roman" w:hAnsi="Times New Roman" w:eastAsia="方正仿宋简体" w:cs="Times New Roman"/>
          <w:b/>
          <w:color w:val="auto"/>
          <w:kern w:val="0"/>
          <w:sz w:val="32"/>
          <w:szCs w:val="32"/>
          <w:lang w:val="en-US" w:eastAsia="zh-CN" w:bidi="ar"/>
        </w:rPr>
      </w:pPr>
      <w:r>
        <w:rPr>
          <w:rFonts w:hint="eastAsia" w:ascii="Times New Roman" w:hAnsi="Times New Roman" w:eastAsia="方正仿宋简体" w:cs="Times New Roman"/>
          <w:b/>
          <w:color w:val="auto"/>
          <w:kern w:val="0"/>
          <w:sz w:val="32"/>
          <w:szCs w:val="32"/>
          <w:lang w:val="en-US" w:eastAsia="zh-CN" w:bidi="ar"/>
        </w:rPr>
        <w:t>2022年度，市金融发展服务中心未收到政府公开申请，市金融发展服务中心不涉及收费项目</w:t>
      </w:r>
      <w:bookmarkStart w:id="10" w:name="_GoBack"/>
      <w:bookmarkEnd w:id="10"/>
      <w:r>
        <w:rPr>
          <w:rFonts w:hint="eastAsia" w:ascii="Times New Roman" w:hAnsi="Times New Roman" w:eastAsia="方正仿宋简体" w:cs="Times New Roman"/>
          <w:b/>
          <w:color w:val="auto"/>
          <w:kern w:val="0"/>
          <w:sz w:val="32"/>
          <w:szCs w:val="32"/>
          <w:lang w:val="en-US" w:eastAsia="zh-CN" w:bidi="ar"/>
        </w:rPr>
        <w:t>，未收到以政府信息公开为由提起的行政复议和行政诉讼。</w:t>
      </w:r>
    </w:p>
    <w:p>
      <w:pPr>
        <w:keepNext w:val="0"/>
        <w:keepLines w:val="0"/>
        <w:pageBreakBefore w:val="0"/>
        <w:numPr>
          <w:ilvl w:val="0"/>
          <w:numId w:val="0"/>
        </w:numPr>
        <w:kinsoku/>
        <w:wordWrap/>
        <w:overflowPunct/>
        <w:topLinePunct w:val="0"/>
        <w:autoSpaceDE/>
        <w:autoSpaceDN/>
        <w:bidi w:val="0"/>
        <w:spacing w:line="520" w:lineRule="exact"/>
        <w:ind w:firstLine="643" w:firstLineChars="200"/>
        <w:textAlignment w:val="auto"/>
        <w:rPr>
          <w:rFonts w:hint="eastAsia" w:ascii="仿宋_GB2312" w:hAnsi="仿宋_GB2312" w:eastAsia="方正楷体简体" w:cs="仿宋_GB2312"/>
          <w:b/>
          <w:bCs/>
          <w:color w:val="auto"/>
          <w:sz w:val="32"/>
          <w:szCs w:val="32"/>
          <w:lang w:val="en-US" w:eastAsia="zh-CN"/>
        </w:rPr>
      </w:pPr>
      <w:r>
        <w:rPr>
          <w:rFonts w:hint="eastAsia" w:ascii="仿宋_GB2312" w:hAnsi="仿宋_GB2312" w:eastAsia="方正楷体简体" w:cs="仿宋_GB2312"/>
          <w:b/>
          <w:bCs/>
          <w:color w:val="auto"/>
          <w:sz w:val="32"/>
          <w:szCs w:val="32"/>
          <w:lang w:val="en-US" w:eastAsia="zh-CN"/>
        </w:rPr>
        <w:t>（三）政府信息管理方面</w:t>
      </w:r>
    </w:p>
    <w:p>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Times New Roman" w:hAnsi="Times New Roman" w:eastAsia="方正仿宋简体" w:cs="Times New Roman"/>
          <w:b/>
          <w:color w:val="auto"/>
          <w:kern w:val="0"/>
          <w:sz w:val="32"/>
          <w:szCs w:val="32"/>
          <w:lang w:val="en-US" w:eastAsia="zh-CN" w:bidi="ar"/>
        </w:rPr>
      </w:pPr>
      <w:r>
        <w:rPr>
          <w:rFonts w:hint="eastAsia" w:ascii="Times New Roman" w:hAnsi="Times New Roman" w:eastAsia="方正仿宋简体" w:cs="Times New Roman"/>
          <w:b/>
          <w:color w:val="auto"/>
          <w:kern w:val="0"/>
          <w:sz w:val="32"/>
          <w:szCs w:val="32"/>
          <w:lang w:val="en-US" w:eastAsia="zh-CN" w:bidi="ar"/>
        </w:rPr>
        <w:t>充分发挥市政府门户网站信息公开“第一平台”作用，安排专人从事政府信息公开工作，确保信息实时动态更新，充分保障公众知情权，提高金融工作透明度。</w:t>
      </w:r>
    </w:p>
    <w:p>
      <w:pPr>
        <w:keepNext w:val="0"/>
        <w:keepLines w:val="0"/>
        <w:pageBreakBefore w:val="0"/>
        <w:numPr>
          <w:ilvl w:val="0"/>
          <w:numId w:val="0"/>
        </w:numPr>
        <w:kinsoku/>
        <w:wordWrap/>
        <w:overflowPunct/>
        <w:topLinePunct w:val="0"/>
        <w:autoSpaceDE/>
        <w:autoSpaceDN/>
        <w:bidi w:val="0"/>
        <w:spacing w:line="520" w:lineRule="exact"/>
        <w:ind w:firstLine="643" w:firstLineChars="200"/>
        <w:textAlignment w:val="auto"/>
        <w:rPr>
          <w:rFonts w:hint="eastAsia" w:ascii="仿宋_GB2312" w:hAnsi="仿宋_GB2312" w:eastAsia="方正楷体简体" w:cs="仿宋_GB2312"/>
          <w:b/>
          <w:bCs/>
          <w:color w:val="auto"/>
          <w:sz w:val="32"/>
          <w:szCs w:val="32"/>
          <w:lang w:val="en-US" w:eastAsia="zh-CN"/>
        </w:rPr>
      </w:pPr>
      <w:r>
        <w:rPr>
          <w:rFonts w:hint="eastAsia" w:ascii="仿宋_GB2312" w:hAnsi="仿宋_GB2312" w:eastAsia="方正楷体简体" w:cs="仿宋_GB2312"/>
          <w:b/>
          <w:bCs/>
          <w:color w:val="auto"/>
          <w:sz w:val="32"/>
          <w:szCs w:val="32"/>
          <w:lang w:val="en-US" w:eastAsia="zh-CN"/>
        </w:rPr>
        <w:t>（四）平台建设方面</w:t>
      </w:r>
    </w:p>
    <w:p>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Times New Roman" w:hAnsi="Times New Roman" w:eastAsia="方正仿宋简体" w:cs="Times New Roman"/>
          <w:b/>
          <w:color w:val="auto"/>
          <w:kern w:val="0"/>
          <w:sz w:val="32"/>
          <w:szCs w:val="32"/>
          <w:lang w:val="en-US" w:eastAsia="zh-CN" w:bidi="ar"/>
        </w:rPr>
      </w:pPr>
      <w:r>
        <w:rPr>
          <w:rFonts w:hint="eastAsia" w:ascii="Times New Roman" w:hAnsi="Times New Roman" w:eastAsia="方正仿宋简体" w:cs="Times New Roman"/>
          <w:b/>
          <w:color w:val="auto"/>
          <w:kern w:val="0"/>
          <w:sz w:val="32"/>
          <w:szCs w:val="32"/>
          <w:lang w:val="en-US" w:eastAsia="zh-CN" w:bidi="ar"/>
        </w:rPr>
        <w:t>曲阜市政府信息公开专栏为政府信息公开平台，市金融发展服务中心形成的政府信息都会及时在平台进行发布。市金融发展服务中心综合科是本单位的政府信息公开工作机构，现有工作人员</w:t>
      </w:r>
      <w:r>
        <w:rPr>
          <w:rFonts w:hint="default" w:ascii="Times New Roman" w:hAnsi="Times New Roman" w:eastAsia="方正仿宋简体" w:cs="Times New Roman"/>
          <w:b/>
          <w:color w:val="auto"/>
          <w:kern w:val="0"/>
          <w:sz w:val="32"/>
          <w:szCs w:val="32"/>
          <w:lang w:val="en-US" w:eastAsia="zh-CN" w:bidi="ar"/>
        </w:rPr>
        <w:t>2</w:t>
      </w:r>
      <w:r>
        <w:rPr>
          <w:rFonts w:hint="eastAsia" w:ascii="Times New Roman" w:hAnsi="Times New Roman" w:eastAsia="方正仿宋简体" w:cs="Times New Roman"/>
          <w:b/>
          <w:color w:val="auto"/>
          <w:kern w:val="0"/>
          <w:sz w:val="32"/>
          <w:szCs w:val="32"/>
          <w:lang w:val="en-US" w:eastAsia="zh-CN" w:bidi="ar"/>
        </w:rPr>
        <w:t>人，负责政务公开相关工作。</w:t>
      </w:r>
    </w:p>
    <w:p>
      <w:pPr>
        <w:keepNext w:val="0"/>
        <w:keepLines w:val="0"/>
        <w:pageBreakBefore w:val="0"/>
        <w:numPr>
          <w:ilvl w:val="0"/>
          <w:numId w:val="0"/>
        </w:numPr>
        <w:kinsoku/>
        <w:wordWrap/>
        <w:overflowPunct/>
        <w:topLinePunct w:val="0"/>
        <w:autoSpaceDE/>
        <w:autoSpaceDN/>
        <w:bidi w:val="0"/>
        <w:spacing w:line="520" w:lineRule="exact"/>
        <w:ind w:firstLine="643" w:firstLineChars="200"/>
        <w:textAlignment w:val="auto"/>
        <w:rPr>
          <w:rFonts w:hint="eastAsia" w:ascii="仿宋_GB2312" w:hAnsi="仿宋_GB2312" w:eastAsia="方正楷体简体" w:cs="仿宋_GB2312"/>
          <w:b/>
          <w:bCs/>
          <w:color w:val="auto"/>
          <w:sz w:val="32"/>
          <w:szCs w:val="32"/>
          <w:lang w:val="en-US" w:eastAsia="zh-CN"/>
        </w:rPr>
      </w:pPr>
      <w:r>
        <w:rPr>
          <w:rFonts w:hint="eastAsia" w:ascii="仿宋_GB2312" w:hAnsi="仿宋_GB2312" w:eastAsia="方正楷体简体" w:cs="仿宋_GB2312"/>
          <w:b/>
          <w:bCs/>
          <w:color w:val="auto"/>
          <w:sz w:val="32"/>
          <w:szCs w:val="32"/>
          <w:lang w:val="en-US" w:eastAsia="zh-CN"/>
        </w:rPr>
        <w:t>（五）监督保障方面</w:t>
      </w:r>
    </w:p>
    <w:p>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方正仿宋简体" w:cs="Times New Roman"/>
          <w:b/>
          <w:color w:val="auto"/>
          <w:kern w:val="0"/>
          <w:sz w:val="32"/>
          <w:szCs w:val="32"/>
          <w:lang w:val="en-US" w:eastAsia="zh-CN" w:bidi="ar"/>
        </w:rPr>
        <w:t>加强组织体系建设。健全工作机构，强化组织保障。加强组织领导，成立工作小组，做到领导、机构、人员“三到位”。严格执行保密审查制度，坚持“先审查、后公开”，对拟公开的政务信息要依法依规做好保密审查，确保国家秘密信息安全。加强学习培训，积极组织单位同志学习交流，积极参加上级部门举办的多种形式的培训会议，不断提高对政务公开工作的认识和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bCs w:val="0"/>
          <w:i w:val="0"/>
          <w:caps w:val="0"/>
          <w:color w:val="auto"/>
          <w:spacing w:val="0"/>
          <w:sz w:val="32"/>
          <w:szCs w:val="32"/>
        </w:rPr>
      </w:pPr>
      <w:r>
        <w:rPr>
          <w:rFonts w:hint="eastAsia" w:ascii="黑体" w:hAnsi="黑体" w:eastAsia="黑体" w:cs="黑体"/>
          <w:b/>
          <w:bCs w:val="0"/>
          <w:i w:val="0"/>
          <w:caps w:val="0"/>
          <w:color w:val="auto"/>
          <w:spacing w:val="0"/>
          <w:sz w:val="32"/>
          <w:szCs w:val="32"/>
          <w:shd w:val="clear" w:fill="FFFFFF"/>
        </w:rPr>
        <w:t>二、主动公开政府信息情况</w:t>
      </w:r>
    </w:p>
    <w:tbl>
      <w:tblPr>
        <w:tblStyle w:val="3"/>
        <w:tblW w:w="8824" w:type="dxa"/>
        <w:jc w:val="center"/>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第二十条第（一）项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现行有效件数</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Calibri" w:eastAsia="仿宋_GB2312" w:cs="Calibri"/>
                <w:color w:val="auto"/>
                <w:kern w:val="0"/>
                <w:szCs w:val="21"/>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第二十条第（五）项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第二十条第（六）项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第二十条第（八）项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本年收费金额（单位：万元）</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bl>
    <w:p>
      <w:pPr>
        <w:rPr>
          <w:rFonts w:hint="eastAsia" w:ascii="黑体" w:hAnsi="黑体" w:eastAsia="黑体" w:cs="黑体"/>
          <w:b/>
          <w:bCs w:val="0"/>
          <w:i w:val="0"/>
          <w:caps w:val="0"/>
          <w:color w:val="auto"/>
          <w:spacing w:val="0"/>
          <w:kern w:val="0"/>
          <w:sz w:val="32"/>
          <w:szCs w:val="32"/>
          <w:shd w:val="clear" w:fill="FFFFFF"/>
          <w:lang w:val="en-US" w:eastAsia="zh-CN" w:bidi="ar"/>
        </w:rPr>
      </w:pPr>
      <w:r>
        <w:rPr>
          <w:rFonts w:hint="eastAsia" w:ascii="黑体" w:hAnsi="黑体" w:eastAsia="黑体" w:cs="黑体"/>
          <w:b/>
          <w:bCs w:val="0"/>
          <w:i w:val="0"/>
          <w:caps w:val="0"/>
          <w:color w:val="auto"/>
          <w:spacing w:val="0"/>
          <w:kern w:val="0"/>
          <w:sz w:val="32"/>
          <w:szCs w:val="32"/>
          <w:shd w:val="clear" w:fill="FFFFFF"/>
          <w:lang w:val="en-US" w:eastAsia="zh-CN" w:bidi="ar"/>
        </w:rPr>
        <w:t>三、收到和处理政府信息公开申请情况</w:t>
      </w:r>
    </w:p>
    <w:tbl>
      <w:tblPr>
        <w:tblStyle w:val="3"/>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color w:val="auto"/>
                <w:kern w:val="0"/>
                <w:szCs w:val="21"/>
              </w:rPr>
            </w:pPr>
            <w:r>
              <w:rPr>
                <w:rFonts w:hint="eastAsia" w:ascii="楷体_GB2312" w:hAnsi="黑体" w:eastAsia="楷体_GB2312"/>
                <w:color w:val="auto"/>
                <w:kern w:val="0"/>
                <w:szCs w:val="21"/>
              </w:rPr>
              <w:t>（本列数据的勾稽关系为：第一项加第二项之和，</w:t>
            </w:r>
          </w:p>
          <w:p>
            <w:pPr>
              <w:widowControl/>
              <w:jc w:val="center"/>
              <w:rPr>
                <w:rFonts w:ascii="仿宋_GB2312" w:hAnsi="Times New Roman" w:eastAsia="仿宋_GB2312"/>
                <w:color w:val="auto"/>
                <w:szCs w:val="21"/>
              </w:rPr>
            </w:pPr>
            <w:r>
              <w:rPr>
                <w:rFonts w:hint="eastAsia" w:ascii="楷体_GB2312" w:hAnsi="黑体" w:eastAsia="楷体_GB2312"/>
                <w:color w:val="auto"/>
                <w:kern w:val="0"/>
                <w:szCs w:val="21"/>
              </w:rPr>
              <w:t>等于第三项加第四项之和）</w:t>
            </w:r>
          </w:p>
        </w:tc>
        <w:tc>
          <w:tcPr>
            <w:tcW w:w="4448" w:type="dxa"/>
            <w:gridSpan w:val="10"/>
            <w:shd w:val="clear" w:color="auto" w:fill="auto"/>
            <w:tcMar>
              <w:left w:w="108" w:type="dxa"/>
              <w:right w:w="108" w:type="dxa"/>
            </w:tcMar>
            <w:vAlign w:val="center"/>
          </w:tcPr>
          <w:p>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color w:val="auto"/>
                <w:szCs w:val="21"/>
              </w:rPr>
            </w:pPr>
          </w:p>
        </w:tc>
        <w:tc>
          <w:tcPr>
            <w:tcW w:w="747" w:type="dxa"/>
            <w:vMerge w:val="restart"/>
            <w:shd w:val="clear" w:color="auto" w:fill="auto"/>
            <w:tcMar>
              <w:left w:w="108" w:type="dxa"/>
              <w:right w:w="108" w:type="dxa"/>
            </w:tcMar>
            <w:vAlign w:val="center"/>
          </w:tcPr>
          <w:p>
            <w:pPr>
              <w:widowControl/>
              <w:jc w:val="center"/>
              <w:rPr>
                <w:rFonts w:ascii="黑体" w:hAnsi="黑体" w:eastAsia="黑体"/>
                <w:color w:val="auto"/>
                <w:szCs w:val="21"/>
              </w:rPr>
            </w:pPr>
            <w:r>
              <w:rPr>
                <w:rFonts w:hint="eastAsia" w:ascii="黑体" w:hAnsi="黑体" w:eastAsia="黑体"/>
                <w:color w:val="auto"/>
                <w:kern w:val="0"/>
                <w:szCs w:val="21"/>
              </w:rPr>
              <w:t>自然人</w:t>
            </w:r>
          </w:p>
        </w:tc>
        <w:tc>
          <w:tcPr>
            <w:tcW w:w="3000" w:type="dxa"/>
            <w:gridSpan w:val="7"/>
            <w:shd w:val="clear" w:color="auto" w:fill="auto"/>
            <w:tcMar>
              <w:left w:w="108" w:type="dxa"/>
              <w:right w:w="108" w:type="dxa"/>
            </w:tcMar>
            <w:vAlign w:val="center"/>
          </w:tcPr>
          <w:p>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法人或其他组织</w:t>
            </w:r>
          </w:p>
        </w:tc>
        <w:tc>
          <w:tcPr>
            <w:tcW w:w="701" w:type="dxa"/>
            <w:gridSpan w:val="2"/>
            <w:vMerge w:val="restart"/>
            <w:shd w:val="clear" w:color="auto" w:fill="auto"/>
            <w:tcMar>
              <w:left w:w="108" w:type="dxa"/>
              <w:right w:w="108" w:type="dxa"/>
            </w:tcMar>
            <w:vAlign w:val="center"/>
          </w:tcPr>
          <w:p>
            <w:pPr>
              <w:widowControl/>
              <w:jc w:val="center"/>
              <w:rPr>
                <w:rFonts w:ascii="黑体" w:hAnsi="黑体" w:eastAsia="黑体"/>
                <w:color w:val="auto"/>
                <w:szCs w:val="21"/>
              </w:rPr>
            </w:pPr>
            <w:r>
              <w:rPr>
                <w:rFonts w:hint="eastAsia" w:ascii="黑体" w:hAnsi="黑体" w:eastAsia="黑体"/>
                <w:color w:val="auto"/>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color w:val="auto"/>
                <w:szCs w:val="21"/>
              </w:rPr>
            </w:pPr>
          </w:p>
        </w:tc>
        <w:tc>
          <w:tcPr>
            <w:tcW w:w="747" w:type="dxa"/>
            <w:vMerge w:val="continue"/>
            <w:shd w:val="clear" w:color="auto" w:fill="auto"/>
            <w:tcMar>
              <w:left w:w="108" w:type="dxa"/>
              <w:right w:w="108" w:type="dxa"/>
            </w:tcMar>
            <w:vAlign w:val="center"/>
          </w:tcPr>
          <w:p>
            <w:pPr>
              <w:jc w:val="center"/>
              <w:rPr>
                <w:rFonts w:ascii="黑体" w:hAnsi="黑体" w:eastAsia="黑体"/>
                <w:color w:val="auto"/>
                <w:szCs w:val="21"/>
              </w:rPr>
            </w:pPr>
          </w:p>
        </w:tc>
        <w:tc>
          <w:tcPr>
            <w:tcW w:w="540" w:type="dxa"/>
            <w:gridSpan w:val="2"/>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商业企业</w:t>
            </w:r>
          </w:p>
        </w:tc>
        <w:tc>
          <w:tcPr>
            <w:tcW w:w="540" w:type="dxa"/>
            <w:gridSpan w:val="2"/>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科研机构</w:t>
            </w:r>
          </w:p>
        </w:tc>
        <w:tc>
          <w:tcPr>
            <w:tcW w:w="720"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社会公益组织</w:t>
            </w:r>
          </w:p>
        </w:tc>
        <w:tc>
          <w:tcPr>
            <w:tcW w:w="675"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法律服务机构</w:t>
            </w:r>
          </w:p>
        </w:tc>
        <w:tc>
          <w:tcPr>
            <w:tcW w:w="525"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color w:val="auto"/>
                <w:szCs w:val="21"/>
              </w:rPr>
            </w:pPr>
            <w:r>
              <w:rPr>
                <w:rFonts w:hint="eastAsia" w:ascii="黑体" w:hAnsi="黑体" w:eastAsia="黑体"/>
                <w:color w:val="auto"/>
                <w:kern w:val="0"/>
                <w:szCs w:val="21"/>
              </w:rPr>
              <w:t>其他</w:t>
            </w:r>
          </w:p>
        </w:tc>
        <w:tc>
          <w:tcPr>
            <w:tcW w:w="701" w:type="dxa"/>
            <w:gridSpan w:val="2"/>
            <w:vMerge w:val="continue"/>
            <w:shd w:val="clear" w:color="auto" w:fill="auto"/>
            <w:tcMar>
              <w:left w:w="108" w:type="dxa"/>
              <w:right w:w="108" w:type="dxa"/>
            </w:tcMar>
            <w:vAlign w:val="center"/>
          </w:tcPr>
          <w:p>
            <w:pPr>
              <w:jc w:val="center"/>
              <w:rPr>
                <w:rFonts w:ascii="仿宋_GB2312" w:hAnsi="Times New Roman" w:eastAsia="仿宋_GB2312"/>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color w:val="auto"/>
                <w:szCs w:val="21"/>
              </w:rPr>
            </w:pPr>
            <w:r>
              <w:rPr>
                <w:rFonts w:hint="eastAsia" w:ascii="黑体" w:hAnsi="黑体" w:eastAsia="黑体"/>
                <w:color w:val="auto"/>
                <w:kern w:val="0"/>
                <w:szCs w:val="21"/>
              </w:rPr>
              <w:t>一、</w:t>
            </w:r>
            <w:bookmarkStart w:id="0" w:name="_Hlk66973412"/>
            <w:r>
              <w:rPr>
                <w:rFonts w:hint="eastAsia" w:ascii="黑体" w:hAnsi="黑体" w:eastAsia="黑体"/>
                <w:color w:val="auto"/>
                <w:kern w:val="0"/>
                <w:szCs w:val="21"/>
              </w:rPr>
              <w:t>本年新收政府信息公开申请数量</w:t>
            </w:r>
            <w:bookmarkEnd w:id="0"/>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color w:val="auto"/>
                <w:szCs w:val="21"/>
              </w:rPr>
            </w:pPr>
            <w:r>
              <w:rPr>
                <w:rFonts w:hint="eastAsia" w:ascii="黑体" w:hAnsi="黑体" w:eastAsia="黑体"/>
                <w:color w:val="auto"/>
                <w:kern w:val="0"/>
                <w:szCs w:val="21"/>
              </w:rPr>
              <w:t>二、上年结转政府信息公开申请数量</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color w:val="auto"/>
                <w:szCs w:val="21"/>
              </w:rPr>
            </w:pPr>
            <w:r>
              <w:rPr>
                <w:rFonts w:hint="eastAsia" w:ascii="黑体" w:hAnsi="黑体" w:eastAsia="黑体"/>
                <w:color w:val="auto"/>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color w:val="auto"/>
                <w:szCs w:val="21"/>
              </w:rPr>
            </w:pPr>
            <w:r>
              <w:rPr>
                <w:rFonts w:hint="eastAsia" w:ascii="黑体" w:hAnsi="黑体" w:eastAsia="黑体"/>
                <w:color w:val="auto"/>
                <w:kern w:val="0"/>
                <w:szCs w:val="21"/>
              </w:rPr>
              <w:t>（一）予以公开</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4677" w:type="dxa"/>
            <w:gridSpan w:val="2"/>
            <w:shd w:val="clear" w:color="auto" w:fill="auto"/>
            <w:tcMar>
              <w:left w:w="108" w:type="dxa"/>
              <w:right w:w="108" w:type="dxa"/>
            </w:tcMar>
            <w:vAlign w:val="center"/>
          </w:tcPr>
          <w:p>
            <w:pPr>
              <w:widowControl/>
              <w:rPr>
                <w:rFonts w:ascii="黑体" w:hAnsi="黑体" w:eastAsia="黑体"/>
                <w:color w:val="auto"/>
                <w:szCs w:val="21"/>
              </w:rPr>
            </w:pPr>
            <w:r>
              <w:rPr>
                <w:rFonts w:hint="eastAsia" w:ascii="黑体" w:hAnsi="黑体" w:eastAsia="黑体"/>
                <w:color w:val="auto"/>
                <w:kern w:val="0"/>
                <w:szCs w:val="21"/>
              </w:rPr>
              <w:t>（二）部分公开（</w:t>
            </w:r>
            <w:bookmarkStart w:id="1" w:name="_Hlk66973981"/>
            <w:r>
              <w:rPr>
                <w:rFonts w:hint="eastAsia" w:ascii="黑体" w:hAnsi="黑体" w:eastAsia="黑体"/>
                <w:color w:val="auto"/>
                <w:kern w:val="0"/>
                <w:szCs w:val="21"/>
              </w:rPr>
              <w:t>区分处理的，只计这一情形，不计其他情形</w:t>
            </w:r>
            <w:bookmarkEnd w:id="1"/>
            <w:r>
              <w:rPr>
                <w:rFonts w:hint="eastAsia" w:ascii="黑体" w:hAnsi="黑体" w:eastAsia="黑体"/>
                <w:color w:val="auto"/>
                <w:kern w:val="0"/>
                <w:szCs w:val="21"/>
              </w:rPr>
              <w:t>）</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1.属于国家秘密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2" w:name="_Hlk66974104"/>
            <w:r>
              <w:rPr>
                <w:rFonts w:hint="eastAsia" w:ascii="仿宋_GB2312" w:hAnsi="黑体" w:eastAsia="仿宋_GB2312"/>
                <w:color w:val="auto"/>
                <w:kern w:val="0"/>
                <w:szCs w:val="21"/>
              </w:rPr>
              <w:t>其他法律行政法规禁止公开</w:t>
            </w:r>
            <w:bookmarkEnd w:id="2"/>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3.危及“三安全一稳定”</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4.</w:t>
            </w:r>
            <w:bookmarkStart w:id="3" w:name="_Hlk66974290"/>
            <w:r>
              <w:rPr>
                <w:rFonts w:hint="eastAsia" w:ascii="仿宋_GB2312" w:hAnsi="黑体" w:eastAsia="仿宋_GB2312"/>
                <w:color w:val="auto"/>
                <w:kern w:val="0"/>
                <w:szCs w:val="21"/>
              </w:rPr>
              <w:t>保护第三方合法权益</w:t>
            </w:r>
            <w:bookmarkEnd w:id="3"/>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5.属于三类内部事务信息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6.</w:t>
            </w:r>
            <w:bookmarkStart w:id="4" w:name="_Hlk66974555"/>
            <w:r>
              <w:rPr>
                <w:rFonts w:hint="eastAsia" w:ascii="仿宋_GB2312" w:hAnsi="黑体" w:eastAsia="仿宋_GB2312"/>
                <w:color w:val="auto"/>
                <w:kern w:val="0"/>
                <w:szCs w:val="21"/>
              </w:rPr>
              <w:t>属于四类过程性信息</w:t>
            </w:r>
            <w:bookmarkEnd w:id="4"/>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7.属于行政执法案卷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8.</w:t>
            </w:r>
            <w:bookmarkStart w:id="5" w:name="_Hlk66975211"/>
            <w:r>
              <w:rPr>
                <w:rFonts w:hint="eastAsia" w:ascii="仿宋_GB2312" w:hAnsi="黑体" w:eastAsia="仿宋_GB2312"/>
                <w:color w:val="auto"/>
                <w:kern w:val="0"/>
                <w:szCs w:val="21"/>
              </w:rPr>
              <w:t>属于行政查询事项</w:t>
            </w:r>
            <w:bookmarkEnd w:id="5"/>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1.本机关不掌握相关政府信息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6" w:name="_Hlk66975392"/>
            <w:r>
              <w:rPr>
                <w:rFonts w:hint="eastAsia" w:ascii="仿宋_GB2312" w:hAnsi="黑体" w:eastAsia="仿宋_GB2312"/>
                <w:color w:val="auto"/>
                <w:kern w:val="0"/>
                <w:szCs w:val="21"/>
              </w:rPr>
              <w:t>没有现成信息需要另行制作</w:t>
            </w:r>
            <w:bookmarkEnd w:id="6"/>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w:t>
            </w:r>
            <w:bookmarkStart w:id="7" w:name="_Hlk66975466"/>
            <w:r>
              <w:rPr>
                <w:rFonts w:hint="eastAsia" w:ascii="仿宋_GB2312" w:hAnsi="黑体" w:eastAsia="仿宋_GB2312"/>
                <w:color w:val="auto"/>
                <w:kern w:val="0"/>
                <w:szCs w:val="21"/>
              </w:rPr>
              <w:t>补正后申请内容仍不明确</w:t>
            </w:r>
            <w:bookmarkEnd w:id="7"/>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w:t>
            </w:r>
            <w:bookmarkStart w:id="8" w:name="_Hlk66975537"/>
            <w:r>
              <w:rPr>
                <w:rFonts w:hint="eastAsia" w:ascii="仿宋_GB2312" w:hAnsi="黑体" w:eastAsia="仿宋_GB2312"/>
                <w:color w:val="auto"/>
                <w:kern w:val="0"/>
                <w:szCs w:val="21"/>
              </w:rPr>
              <w:t>信访举报投诉类申请</w:t>
            </w:r>
            <w:bookmarkEnd w:id="8"/>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3.要求提供公开出版物</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4.无正当理由大量反复申请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color w:val="auto"/>
                <w:kern w:val="0"/>
                <w:szCs w:val="21"/>
              </w:rPr>
            </w:pPr>
            <w:r>
              <w:rPr>
                <w:rFonts w:hint="eastAsia" w:ascii="仿宋_GB2312" w:hAnsi="黑体" w:eastAsia="仿宋_GB2312"/>
                <w:color w:val="auto"/>
                <w:kern w:val="0"/>
                <w:szCs w:val="21"/>
              </w:rPr>
              <w:t>5.要求行政机关确认或重新</w:t>
            </w:r>
          </w:p>
          <w:p>
            <w:pPr>
              <w:widowControl/>
              <w:spacing w:line="300" w:lineRule="exact"/>
              <w:ind w:firstLine="210" w:firstLineChars="100"/>
              <w:rPr>
                <w:rFonts w:ascii="仿宋_GB2312" w:hAnsi="黑体" w:eastAsia="仿宋_GB2312"/>
                <w:color w:val="auto"/>
                <w:szCs w:val="21"/>
              </w:rPr>
            </w:pPr>
            <w:r>
              <w:rPr>
                <w:rFonts w:hint="eastAsia" w:ascii="仿宋_GB2312" w:hAnsi="黑体" w:eastAsia="仿宋_GB2312"/>
                <w:color w:val="auto"/>
                <w:kern w:val="0"/>
                <w:szCs w:val="21"/>
              </w:rPr>
              <w:t>出具已获取信息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（六）其他处理</w:t>
            </w:r>
          </w:p>
        </w:tc>
        <w:tc>
          <w:tcPr>
            <w:tcW w:w="2976" w:type="dxa"/>
            <w:shd w:val="clear" w:color="auto" w:fill="auto"/>
            <w:vAlign w:val="center"/>
          </w:tcPr>
          <w:p>
            <w:pPr>
              <w:widowControl/>
              <w:spacing w:line="300" w:lineRule="exact"/>
              <w:rPr>
                <w:rFonts w:ascii="仿宋_GB2312" w:hAnsi="楷体" w:eastAsia="仿宋_GB2312"/>
                <w:color w:val="auto"/>
              </w:rPr>
            </w:pPr>
            <w:r>
              <w:rPr>
                <w:rFonts w:hint="eastAsia" w:ascii="仿宋_GB2312" w:hAnsi="楷体" w:eastAsia="仿宋_GB2312"/>
                <w:color w:val="auto"/>
              </w:rPr>
              <w:t>1.申请人无正当理由逾期不补正、行政机关不再处理其政府信息公开申请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color w:val="auto"/>
                <w:kern w:val="0"/>
                <w:szCs w:val="21"/>
              </w:rPr>
            </w:pPr>
          </w:p>
        </w:tc>
        <w:tc>
          <w:tcPr>
            <w:tcW w:w="2976" w:type="dxa"/>
            <w:shd w:val="clear" w:color="auto" w:fill="auto"/>
            <w:vAlign w:val="center"/>
          </w:tcPr>
          <w:p>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2.申请人逾期未按收费通知要求缴纳费用、行政机关不再处理其政府信息公开申请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color w:val="auto"/>
                <w:kern w:val="0"/>
                <w:szCs w:val="21"/>
              </w:rPr>
            </w:pPr>
          </w:p>
        </w:tc>
        <w:tc>
          <w:tcPr>
            <w:tcW w:w="2976" w:type="dxa"/>
            <w:shd w:val="clear" w:color="auto" w:fill="auto"/>
            <w:vAlign w:val="center"/>
          </w:tcPr>
          <w:p>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3.其他</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color w:val="auto"/>
                <w:kern w:val="0"/>
                <w:szCs w:val="21"/>
              </w:rPr>
            </w:pPr>
            <w:r>
              <w:rPr>
                <w:rFonts w:hint="eastAsia" w:ascii="黑体" w:hAnsi="黑体" w:eastAsia="黑体"/>
                <w:color w:val="auto"/>
                <w:kern w:val="0"/>
                <w:szCs w:val="21"/>
              </w:rPr>
              <w:t>（七）总计</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四、结转下年度继续办理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bl>
    <w:p>
      <w:pPr>
        <w:widowControl/>
        <w:jc w:val="left"/>
        <w:rPr>
          <w:rFonts w:hint="eastAsia" w:ascii="仿宋_GB2312" w:hAnsi="Calibri" w:eastAsia="仿宋_GB2312" w:cs="Calibri"/>
          <w:color w:val="auto"/>
          <w:kern w:val="0"/>
          <w:szCs w:val="21"/>
          <w:lang w:val="en-US" w:eastAsia="zh-CN"/>
        </w:rPr>
      </w:pPr>
    </w:p>
    <w:p>
      <w:pPr>
        <w:rPr>
          <w:rFonts w:ascii="仿宋_GB2312" w:eastAsia="仿宋_GB2312"/>
          <w:b/>
          <w:bCs w:val="0"/>
          <w:color w:val="auto"/>
          <w:sz w:val="32"/>
          <w:szCs w:val="32"/>
        </w:rPr>
      </w:pPr>
      <w:r>
        <w:rPr>
          <w:rFonts w:hint="eastAsia" w:ascii="黑体" w:hAnsi="黑体" w:eastAsia="黑体" w:cs="黑体"/>
          <w:b/>
          <w:bCs w:val="0"/>
          <w:i w:val="0"/>
          <w:caps w:val="0"/>
          <w:color w:val="auto"/>
          <w:spacing w:val="0"/>
          <w:kern w:val="0"/>
          <w:sz w:val="32"/>
          <w:szCs w:val="32"/>
          <w:shd w:val="clear" w:fill="FFFFFF"/>
          <w:lang w:val="en-US" w:eastAsia="zh-CN" w:bidi="ar"/>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color w:val="auto"/>
                <w:kern w:val="0"/>
                <w:sz w:val="20"/>
                <w:szCs w:val="20"/>
              </w:rPr>
            </w:pPr>
            <w:r>
              <w:rPr>
                <w:rFonts w:ascii="黑体" w:hAnsi="黑体" w:eastAsia="黑体"/>
                <w:color w:val="auto"/>
                <w:kern w:val="0"/>
                <w:sz w:val="20"/>
                <w:szCs w:val="20"/>
              </w:rPr>
              <w:t>结果</w:t>
            </w:r>
          </w:p>
          <w:p>
            <w:pPr>
              <w:widowControl/>
              <w:ind w:left="-149" w:leftChars="-71" w:right="-170" w:rightChars="-81"/>
              <w:jc w:val="center"/>
              <w:rPr>
                <w:rFonts w:ascii="黑体" w:hAnsi="黑体" w:eastAsia="黑体"/>
                <w:color w:val="auto"/>
              </w:rPr>
            </w:pPr>
            <w:r>
              <w:rPr>
                <w:rFonts w:ascii="黑体" w:hAnsi="黑体" w:eastAsia="黑体"/>
                <w:color w:val="auto"/>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color w:val="auto"/>
              </w:rPr>
            </w:pPr>
            <w:r>
              <w:rPr>
                <w:rFonts w:ascii="黑体" w:hAnsi="黑体" w:eastAsia="黑体"/>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color w:val="auto"/>
              </w:rPr>
            </w:pPr>
            <w:r>
              <w:rPr>
                <w:rFonts w:ascii="黑体" w:hAnsi="黑体" w:eastAsia="黑体"/>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color w:val="auto"/>
                <w:kern w:val="0"/>
                <w:sz w:val="20"/>
                <w:szCs w:val="20"/>
              </w:rPr>
            </w:pPr>
            <w:r>
              <w:rPr>
                <w:rFonts w:ascii="黑体" w:hAnsi="黑体" w:eastAsia="黑体"/>
                <w:color w:val="auto"/>
                <w:kern w:val="0"/>
                <w:sz w:val="20"/>
                <w:szCs w:val="20"/>
              </w:rPr>
              <w:t>尚未</w:t>
            </w:r>
          </w:p>
          <w:p>
            <w:pPr>
              <w:widowControl/>
              <w:ind w:left="-118" w:leftChars="-56" w:right="-118" w:rightChars="-56"/>
              <w:jc w:val="center"/>
              <w:rPr>
                <w:rFonts w:ascii="黑体" w:hAnsi="黑体" w:eastAsia="黑体"/>
                <w:color w:val="auto"/>
              </w:rPr>
            </w:pPr>
            <w:r>
              <w:rPr>
                <w:rFonts w:ascii="黑体" w:hAnsi="黑体" w:eastAsia="黑体"/>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color w:val="auto"/>
                <w:kern w:val="0"/>
                <w:sz w:val="20"/>
                <w:szCs w:val="20"/>
              </w:rPr>
            </w:pPr>
            <w:r>
              <w:rPr>
                <w:rFonts w:ascii="黑体" w:hAnsi="黑体" w:eastAsia="黑体"/>
                <w:color w:val="auto"/>
                <w:kern w:val="0"/>
                <w:sz w:val="20"/>
                <w:szCs w:val="20"/>
              </w:rPr>
              <w:t>总</w:t>
            </w:r>
          </w:p>
          <w:p>
            <w:pPr>
              <w:widowControl/>
              <w:spacing w:line="320" w:lineRule="exact"/>
              <w:jc w:val="center"/>
              <w:rPr>
                <w:rFonts w:ascii="黑体" w:hAnsi="黑体" w:eastAsia="黑体"/>
                <w:color w:val="auto"/>
              </w:rPr>
            </w:pPr>
            <w:r>
              <w:rPr>
                <w:rFonts w:ascii="黑体" w:hAnsi="黑体" w:eastAsia="黑体"/>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bookmarkStart w:id="9" w:name="_Hlk67039688"/>
            <w:r>
              <w:rPr>
                <w:rFonts w:ascii="黑体" w:hAnsi="黑体" w:eastAsia="黑体"/>
                <w:color w:val="auto"/>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auto"/>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auto"/>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auto"/>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color w:val="auto"/>
              </w:rPr>
            </w:pPr>
            <w:r>
              <w:rPr>
                <w:rFonts w:ascii="黑体" w:hAnsi="黑体" w:eastAsia="黑体"/>
                <w:color w:val="auto"/>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color w:val="auto"/>
              </w:rPr>
            </w:pPr>
            <w:r>
              <w:rPr>
                <w:rFonts w:ascii="黑体" w:hAnsi="黑体" w:eastAsia="黑体"/>
                <w:color w:val="auto"/>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color w:val="auto"/>
                <w:kern w:val="0"/>
                <w:sz w:val="20"/>
                <w:szCs w:val="20"/>
              </w:rPr>
            </w:pPr>
            <w:r>
              <w:rPr>
                <w:rFonts w:ascii="黑体" w:hAnsi="黑体" w:eastAsia="黑体"/>
                <w:color w:val="auto"/>
                <w:kern w:val="0"/>
                <w:sz w:val="20"/>
                <w:szCs w:val="20"/>
              </w:rPr>
              <w:t>其他</w:t>
            </w:r>
          </w:p>
          <w:p>
            <w:pPr>
              <w:widowControl/>
              <w:ind w:left="-126" w:leftChars="-60" w:right="-136" w:rightChars="-65"/>
              <w:jc w:val="center"/>
              <w:rPr>
                <w:rFonts w:ascii="黑体" w:hAnsi="黑体" w:eastAsia="黑体"/>
                <w:color w:val="auto"/>
              </w:rPr>
            </w:pPr>
            <w:r>
              <w:rPr>
                <w:rFonts w:ascii="黑体" w:hAnsi="黑体" w:eastAsia="黑体"/>
                <w:color w:val="auto"/>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color w:val="auto"/>
                <w:kern w:val="0"/>
                <w:sz w:val="20"/>
                <w:szCs w:val="20"/>
              </w:rPr>
            </w:pPr>
            <w:r>
              <w:rPr>
                <w:rFonts w:ascii="黑体" w:hAnsi="黑体" w:eastAsia="黑体"/>
                <w:color w:val="auto"/>
                <w:kern w:val="0"/>
                <w:sz w:val="20"/>
                <w:szCs w:val="20"/>
              </w:rPr>
              <w:t>尚未</w:t>
            </w:r>
          </w:p>
          <w:p>
            <w:pPr>
              <w:widowControl/>
              <w:ind w:left="-164" w:leftChars="-78" w:right="-153" w:rightChars="-73"/>
              <w:jc w:val="center"/>
              <w:rPr>
                <w:rFonts w:ascii="黑体" w:hAnsi="黑体" w:eastAsia="黑体"/>
                <w:color w:val="auto"/>
              </w:rPr>
            </w:pPr>
            <w:r>
              <w:rPr>
                <w:rFonts w:ascii="黑体" w:hAnsi="黑体" w:eastAsia="黑体"/>
                <w:color w:val="auto"/>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color w:val="auto"/>
              </w:rPr>
            </w:pPr>
            <w:r>
              <w:rPr>
                <w:rFonts w:ascii="黑体" w:hAnsi="黑体" w:eastAsia="黑体"/>
                <w:color w:val="auto"/>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color w:val="auto"/>
                <w:kern w:val="0"/>
                <w:sz w:val="20"/>
                <w:szCs w:val="20"/>
              </w:rPr>
            </w:pPr>
            <w:r>
              <w:rPr>
                <w:rFonts w:ascii="黑体" w:hAnsi="黑体" w:eastAsia="黑体"/>
                <w:color w:val="auto"/>
                <w:kern w:val="0"/>
                <w:sz w:val="20"/>
                <w:szCs w:val="20"/>
              </w:rPr>
              <w:t>结果</w:t>
            </w:r>
          </w:p>
          <w:p>
            <w:pPr>
              <w:widowControl/>
              <w:ind w:left="-136" w:leftChars="-65" w:right="-124" w:rightChars="-59"/>
              <w:jc w:val="center"/>
              <w:rPr>
                <w:rFonts w:ascii="黑体" w:hAnsi="黑体" w:eastAsia="黑体"/>
                <w:color w:val="auto"/>
              </w:rPr>
            </w:pPr>
            <w:r>
              <w:rPr>
                <w:rFonts w:ascii="黑体" w:hAnsi="黑体" w:eastAsia="黑体"/>
                <w:color w:val="auto"/>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color w:val="auto"/>
                <w:kern w:val="0"/>
                <w:sz w:val="20"/>
                <w:szCs w:val="20"/>
              </w:rPr>
            </w:pPr>
            <w:r>
              <w:rPr>
                <w:rFonts w:ascii="黑体" w:hAnsi="黑体" w:eastAsia="黑体"/>
                <w:color w:val="auto"/>
                <w:kern w:val="0"/>
                <w:sz w:val="20"/>
                <w:szCs w:val="20"/>
              </w:rPr>
              <w:t>其他</w:t>
            </w:r>
          </w:p>
          <w:p>
            <w:pPr>
              <w:widowControl/>
              <w:ind w:left="-173" w:leftChars="-83" w:right="-134" w:rightChars="-64" w:hanging="1"/>
              <w:jc w:val="center"/>
              <w:rPr>
                <w:rFonts w:ascii="黑体" w:hAnsi="黑体" w:eastAsia="黑体"/>
                <w:color w:val="auto"/>
              </w:rPr>
            </w:pPr>
            <w:r>
              <w:rPr>
                <w:rFonts w:ascii="黑体" w:hAnsi="黑体" w:eastAsia="黑体"/>
                <w:color w:val="auto"/>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color w:val="auto"/>
              </w:rPr>
            </w:pPr>
            <w:r>
              <w:rPr>
                <w:rFonts w:ascii="黑体" w:hAnsi="黑体" w:eastAsia="黑体"/>
                <w:color w:val="auto"/>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r>
    </w:tbl>
    <w:p>
      <w:pPr>
        <w:widowControl/>
        <w:jc w:val="left"/>
        <w:rPr>
          <w:rFonts w:hint="eastAsia" w:ascii="仿宋_GB2312" w:hAnsi="Calibri" w:eastAsia="仿宋_GB2312" w:cs="Calibri"/>
          <w:color w:val="auto"/>
          <w:kern w:val="0"/>
          <w:szCs w:val="21"/>
          <w:lang w:val="en-US" w:eastAsia="zh-CN"/>
        </w:rPr>
      </w:pP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黑体" w:hAnsi="黑体" w:eastAsia="黑体" w:cs="黑体"/>
          <w:b/>
          <w:bCs w:val="0"/>
          <w:i w:val="0"/>
          <w:caps w:val="0"/>
          <w:color w:val="auto"/>
          <w:spacing w:val="0"/>
          <w:kern w:val="0"/>
          <w:sz w:val="32"/>
          <w:szCs w:val="32"/>
          <w:shd w:val="clear" w:fill="FFFFFF"/>
          <w:lang w:val="en-US" w:eastAsia="zh-CN" w:bidi="ar"/>
        </w:rPr>
      </w:pPr>
      <w:r>
        <w:rPr>
          <w:rFonts w:hint="eastAsia" w:ascii="黑体" w:hAnsi="黑体" w:eastAsia="黑体" w:cs="黑体"/>
          <w:b/>
          <w:bCs w:val="0"/>
          <w:i w:val="0"/>
          <w:caps w:val="0"/>
          <w:color w:val="auto"/>
          <w:spacing w:val="0"/>
          <w:kern w:val="0"/>
          <w:sz w:val="32"/>
          <w:szCs w:val="32"/>
          <w:shd w:val="clear" w:fill="FFFFFF"/>
          <w:lang w:val="en-US" w:eastAsia="zh-CN" w:bidi="ar"/>
        </w:rPr>
        <w:t xml:space="preserve">存在的主要问题及改进情况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Times New Roman" w:hAnsi="Times New Roman" w:eastAsia="方正仿宋简体" w:cs="黑体"/>
          <w:b/>
          <w:bCs w:val="0"/>
          <w:i w:val="0"/>
          <w:caps w:val="0"/>
          <w:color w:val="auto"/>
          <w:spacing w:val="0"/>
          <w:kern w:val="0"/>
          <w:sz w:val="32"/>
          <w:szCs w:val="32"/>
          <w:shd w:val="clear" w:fill="FFFFFF"/>
          <w:lang w:val="en-US" w:eastAsia="zh-CN" w:bidi="ar"/>
        </w:rPr>
      </w:pPr>
      <w:r>
        <w:rPr>
          <w:rFonts w:hint="eastAsia" w:ascii="Times New Roman" w:hAnsi="Times New Roman" w:eastAsia="方正仿宋简体" w:cs="黑体"/>
          <w:b/>
          <w:bCs w:val="0"/>
          <w:i w:val="0"/>
          <w:caps w:val="0"/>
          <w:color w:val="auto"/>
          <w:spacing w:val="0"/>
          <w:kern w:val="0"/>
          <w:sz w:val="32"/>
          <w:szCs w:val="32"/>
          <w:shd w:val="clear" w:fill="FFFFFF"/>
          <w:lang w:val="en-US" w:eastAsia="zh-CN" w:bidi="ar"/>
        </w:rPr>
        <w:t xml:space="preserve">  2022年，曲阜市金融发展服务中心政府信息公开工作扎实稳步推进，取得一定成效，但对照新时代政务公开工作面临的新形势、新任务、新要求，仍存在一些薄弱环节和问题，包括公开工作机制完善、公开信息质量提升、创新性政策解读、通过政务公开工作增强人民群众获得感和满意度等方面有待进一步提升。2023年，我中心将一是加强组织领导，健全工作机制，依法推进政府信息公开。按照市委市政府政务公开领导小组的要求，把政务公开工作纳入重要工作议事日程，并建立政务公开长效机制。二是提高内容的丰富性，准确性，及时性。明确政务公开的内容和范围，着力于以文字、图片、图表等多形式呈现信息，避免走过场、走形式。通过落实信息公开责任科室和责任人，坚持“谁提供，谁审核，谁负责”的原则，按照职能职责的要求把好关。</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420" w:firstLineChars="0"/>
        <w:jc w:val="both"/>
        <w:rPr>
          <w:rFonts w:hint="eastAsia" w:ascii="黑体" w:hAnsi="黑体" w:eastAsia="黑体" w:cs="黑体"/>
          <w:b/>
          <w:bCs w:val="0"/>
          <w:i w:val="0"/>
          <w:caps w:val="0"/>
          <w:color w:val="auto"/>
          <w:spacing w:val="0"/>
          <w:kern w:val="0"/>
          <w:sz w:val="32"/>
          <w:szCs w:val="32"/>
          <w:shd w:val="clear" w:fill="FFFFFF"/>
          <w:lang w:val="en-US" w:eastAsia="zh-CN" w:bidi="ar"/>
        </w:rPr>
      </w:pPr>
      <w:r>
        <w:rPr>
          <w:rFonts w:hint="eastAsia" w:ascii="黑体" w:hAnsi="黑体" w:eastAsia="黑体" w:cs="黑体"/>
          <w:b/>
          <w:bCs w:val="0"/>
          <w:i w:val="0"/>
          <w:caps w:val="0"/>
          <w:color w:val="auto"/>
          <w:spacing w:val="0"/>
          <w:kern w:val="0"/>
          <w:sz w:val="32"/>
          <w:szCs w:val="32"/>
          <w:shd w:val="clear" w:fill="FFFFFF"/>
          <w:lang w:val="en-US" w:eastAsia="zh-CN" w:bidi="ar"/>
        </w:rPr>
        <w:t>其他需要报告的事项</w:t>
      </w:r>
    </w:p>
    <w:p>
      <w:pPr>
        <w:keepNext w:val="0"/>
        <w:keepLines w:val="0"/>
        <w:pageBreakBefore w:val="0"/>
        <w:numPr>
          <w:ilvl w:val="0"/>
          <w:numId w:val="2"/>
        </w:numPr>
        <w:kinsoku/>
        <w:overflowPunct/>
        <w:topLinePunct w:val="0"/>
        <w:autoSpaceDE/>
        <w:autoSpaceDN/>
        <w:bidi w:val="0"/>
        <w:adjustRightInd/>
        <w:snapToGrid/>
        <w:spacing w:line="520" w:lineRule="exact"/>
        <w:ind w:right="-105" w:rightChars="-50" w:firstLine="643" w:firstLineChars="200"/>
        <w:textAlignment w:val="auto"/>
        <w:rPr>
          <w:rFonts w:hint="eastAsia" w:ascii="黑体" w:hAnsi="黑体" w:eastAsia="方正仿宋简体" w:cs="黑体"/>
          <w:b/>
          <w:bCs w:val="0"/>
          <w:i w:val="0"/>
          <w:caps w:val="0"/>
          <w:color w:val="auto"/>
          <w:spacing w:val="0"/>
          <w:kern w:val="0"/>
          <w:sz w:val="32"/>
          <w:szCs w:val="32"/>
          <w:shd w:val="clear" w:fill="FFFFFF"/>
          <w:lang w:val="en-US" w:eastAsia="zh-CN" w:bidi="ar"/>
        </w:rPr>
      </w:pPr>
      <w:r>
        <w:rPr>
          <w:rFonts w:hint="eastAsia" w:ascii="方正楷体简体" w:hAnsi="方正楷体简体" w:eastAsia="方正楷体简体" w:cs="方正楷体简体"/>
          <w:b/>
          <w:color w:val="auto"/>
          <w:sz w:val="32"/>
          <w:szCs w:val="32"/>
        </w:rPr>
        <w:t>收取信息处理费的情况</w:t>
      </w:r>
      <w:r>
        <w:rPr>
          <w:rFonts w:hint="eastAsia" w:ascii="方正楷体简体" w:hAnsi="方正楷体简体" w:eastAsia="方正楷体简体" w:cs="方正楷体简体"/>
          <w:b/>
          <w:color w:val="auto"/>
          <w:sz w:val="32"/>
          <w:szCs w:val="32"/>
          <w:lang w:val="en-US" w:eastAsia="zh-CN"/>
        </w:rPr>
        <w:t xml:space="preserve">                          </w:t>
      </w:r>
    </w:p>
    <w:p>
      <w:pPr>
        <w:keepNext w:val="0"/>
        <w:keepLines w:val="0"/>
        <w:pageBreakBefore w:val="0"/>
        <w:numPr>
          <w:ilvl w:val="0"/>
          <w:numId w:val="0"/>
        </w:numPr>
        <w:kinsoku/>
        <w:overflowPunct/>
        <w:topLinePunct w:val="0"/>
        <w:autoSpaceDE/>
        <w:autoSpaceDN/>
        <w:bidi w:val="0"/>
        <w:adjustRightInd/>
        <w:snapToGrid/>
        <w:spacing w:line="520" w:lineRule="exact"/>
        <w:ind w:right="-105" w:rightChars="-50" w:firstLine="643" w:firstLineChars="200"/>
        <w:textAlignment w:val="auto"/>
        <w:rPr>
          <w:rFonts w:hint="eastAsia" w:ascii="黑体" w:hAnsi="黑体" w:eastAsia="方正仿宋简体" w:cs="黑体"/>
          <w:b/>
          <w:bCs w:val="0"/>
          <w:i w:val="0"/>
          <w:caps w:val="0"/>
          <w:color w:val="auto"/>
          <w:spacing w:val="0"/>
          <w:kern w:val="0"/>
          <w:sz w:val="32"/>
          <w:szCs w:val="32"/>
          <w:shd w:val="clear" w:fill="FFFFFF"/>
          <w:lang w:val="en-US" w:eastAsia="zh-CN" w:bidi="ar"/>
        </w:rPr>
      </w:pPr>
      <w:r>
        <w:rPr>
          <w:rFonts w:hint="eastAsia" w:ascii="黑体" w:hAnsi="黑体" w:eastAsia="方正仿宋简体" w:cs="黑体"/>
          <w:b/>
          <w:bCs w:val="0"/>
          <w:i w:val="0"/>
          <w:caps w:val="0"/>
          <w:color w:val="auto"/>
          <w:spacing w:val="0"/>
          <w:kern w:val="0"/>
          <w:sz w:val="32"/>
          <w:szCs w:val="32"/>
          <w:shd w:val="clear" w:fill="FFFFFF"/>
          <w:lang w:val="en-US" w:eastAsia="zh-CN" w:bidi="ar"/>
        </w:rPr>
        <w:t>本年度我中心</w:t>
      </w:r>
      <w:r>
        <w:rPr>
          <w:rFonts w:hint="eastAsia" w:ascii="Times New Roman" w:hAnsi="Times New Roman" w:eastAsia="方正仿宋简体" w:cs="Times New Roman"/>
          <w:b/>
          <w:color w:val="auto"/>
          <w:kern w:val="0"/>
          <w:sz w:val="32"/>
          <w:szCs w:val="32"/>
          <w:lang w:val="en-US" w:eastAsia="zh-CN" w:bidi="ar"/>
        </w:rPr>
        <w:t>未收到政府公开申请，</w:t>
      </w:r>
      <w:r>
        <w:rPr>
          <w:rFonts w:hint="eastAsia" w:ascii="黑体" w:hAnsi="黑体" w:eastAsia="方正仿宋简体" w:cs="黑体"/>
          <w:b/>
          <w:bCs w:val="0"/>
          <w:i w:val="0"/>
          <w:caps w:val="0"/>
          <w:color w:val="auto"/>
          <w:spacing w:val="0"/>
          <w:kern w:val="0"/>
          <w:sz w:val="32"/>
          <w:szCs w:val="32"/>
          <w:shd w:val="clear" w:fill="FFFFFF"/>
          <w:lang w:val="en-US" w:eastAsia="zh-CN" w:bidi="ar"/>
        </w:rPr>
        <w:t>不存在收取信息处理费的情况。</w:t>
      </w:r>
    </w:p>
    <w:p>
      <w:pPr>
        <w:keepNext w:val="0"/>
        <w:keepLines w:val="0"/>
        <w:pageBreakBefore w:val="0"/>
        <w:numPr>
          <w:ilvl w:val="0"/>
          <w:numId w:val="2"/>
        </w:numPr>
        <w:kinsoku/>
        <w:overflowPunct/>
        <w:topLinePunct w:val="0"/>
        <w:autoSpaceDE/>
        <w:autoSpaceDN/>
        <w:bidi w:val="0"/>
        <w:adjustRightInd/>
        <w:snapToGrid/>
        <w:spacing w:line="520" w:lineRule="exact"/>
        <w:ind w:left="0" w:leftChars="0" w:right="-105" w:rightChars="-50" w:firstLine="643" w:firstLineChars="200"/>
        <w:textAlignment w:val="auto"/>
        <w:rPr>
          <w:rFonts w:hint="eastAsia" w:ascii="方正楷体简体" w:hAnsi="方正楷体简体" w:eastAsia="方正楷体简体" w:cs="方正楷体简体"/>
          <w:b/>
          <w:color w:val="auto"/>
          <w:sz w:val="32"/>
          <w:szCs w:val="32"/>
        </w:rPr>
      </w:pPr>
      <w:r>
        <w:rPr>
          <w:rFonts w:hint="eastAsia" w:ascii="方正楷体简体" w:hAnsi="方正楷体简体" w:eastAsia="方正楷体简体" w:cs="方正楷体简体"/>
          <w:b/>
          <w:color w:val="auto"/>
          <w:sz w:val="32"/>
          <w:szCs w:val="32"/>
        </w:rPr>
        <w:t>本</w:t>
      </w:r>
      <w:r>
        <w:rPr>
          <w:rFonts w:hint="eastAsia" w:ascii="方正楷体简体" w:hAnsi="方正楷体简体" w:eastAsia="方正楷体简体" w:cs="方正楷体简体"/>
          <w:b/>
          <w:color w:val="auto"/>
          <w:sz w:val="32"/>
          <w:szCs w:val="32"/>
          <w:lang w:eastAsia="zh-CN"/>
        </w:rPr>
        <w:t>单位</w:t>
      </w:r>
      <w:r>
        <w:rPr>
          <w:rFonts w:hint="eastAsia" w:ascii="方正楷体简体" w:hAnsi="方正楷体简体" w:eastAsia="方正楷体简体" w:cs="方正楷体简体"/>
          <w:b/>
          <w:color w:val="auto"/>
          <w:sz w:val="32"/>
          <w:szCs w:val="32"/>
        </w:rPr>
        <w:t>落实上级年度政务公开工作要点情况</w:t>
      </w:r>
    </w:p>
    <w:p>
      <w:pPr>
        <w:keepNext w:val="0"/>
        <w:keepLines w:val="0"/>
        <w:pageBreakBefore w:val="0"/>
        <w:numPr>
          <w:ilvl w:val="0"/>
          <w:numId w:val="0"/>
        </w:numPr>
        <w:kinsoku/>
        <w:overflowPunct/>
        <w:topLinePunct w:val="0"/>
        <w:autoSpaceDE/>
        <w:autoSpaceDN/>
        <w:bidi w:val="0"/>
        <w:adjustRightInd/>
        <w:snapToGrid/>
        <w:spacing w:line="520" w:lineRule="exact"/>
        <w:ind w:right="-105" w:rightChars="-50" w:firstLine="643" w:firstLineChars="200"/>
        <w:textAlignment w:val="auto"/>
        <w:rPr>
          <w:rFonts w:hint="eastAsia" w:ascii="方正楷体简体" w:hAnsi="方正楷体简体" w:eastAsia="方正楷体简体" w:cs="方正楷体简体"/>
          <w:b/>
          <w:color w:val="auto"/>
          <w:sz w:val="32"/>
          <w:szCs w:val="32"/>
        </w:rPr>
      </w:pPr>
      <w:r>
        <w:rPr>
          <w:rFonts w:hint="eastAsia" w:ascii="方正仿宋简体" w:hAnsi="方正仿宋简体" w:eastAsia="方正仿宋简体" w:cs="方正仿宋简体"/>
          <w:b/>
          <w:bCs/>
          <w:color w:val="auto"/>
          <w:kern w:val="0"/>
          <w:sz w:val="32"/>
          <w:szCs w:val="32"/>
          <w:lang w:val="en-US" w:eastAsia="zh-CN" w:bidi="ar"/>
        </w:rPr>
        <w:t>根据政务公开工作要点，我中心结合工作实际和业务发展要求，大力加强组织领导，积极健全管理制度，狠抓工作落实，扎实推进政府信息公开工作，地方金融工作的透明度和影响力不断提高。</w:t>
      </w:r>
    </w:p>
    <w:p>
      <w:pPr>
        <w:keepNext w:val="0"/>
        <w:keepLines w:val="0"/>
        <w:pageBreakBefore w:val="0"/>
        <w:numPr>
          <w:ilvl w:val="0"/>
          <w:numId w:val="2"/>
        </w:numPr>
        <w:kinsoku/>
        <w:overflowPunct/>
        <w:topLinePunct w:val="0"/>
        <w:autoSpaceDE/>
        <w:autoSpaceDN/>
        <w:bidi w:val="0"/>
        <w:adjustRightInd/>
        <w:snapToGrid/>
        <w:spacing w:line="520" w:lineRule="exact"/>
        <w:ind w:left="0" w:leftChars="0" w:right="-105" w:rightChars="-50" w:firstLine="599" w:firstLineChars="200"/>
        <w:textAlignment w:val="auto"/>
        <w:rPr>
          <w:rFonts w:hint="eastAsia" w:ascii="方正楷体简体" w:hAnsi="方正楷体简体" w:eastAsia="方正楷体简体" w:cs="方正楷体简体"/>
          <w:b/>
          <w:color w:val="auto"/>
          <w:sz w:val="32"/>
          <w:szCs w:val="32"/>
        </w:rPr>
      </w:pPr>
      <w:r>
        <w:rPr>
          <w:rFonts w:hint="eastAsia" w:ascii="方正楷体简体" w:hAnsi="方正楷体简体" w:eastAsia="方正楷体简体" w:cs="方正楷体简体"/>
          <w:b/>
          <w:color w:val="auto"/>
          <w:spacing w:val="-11"/>
          <w:sz w:val="32"/>
          <w:szCs w:val="32"/>
        </w:rPr>
        <w:t>本</w:t>
      </w:r>
      <w:r>
        <w:rPr>
          <w:rFonts w:hint="eastAsia" w:ascii="方正楷体简体" w:hAnsi="方正楷体简体" w:eastAsia="方正楷体简体" w:cs="方正楷体简体"/>
          <w:b/>
          <w:color w:val="auto"/>
          <w:spacing w:val="-11"/>
          <w:sz w:val="32"/>
          <w:szCs w:val="32"/>
          <w:lang w:eastAsia="zh-CN"/>
        </w:rPr>
        <w:t>单位</w:t>
      </w:r>
      <w:r>
        <w:rPr>
          <w:rFonts w:hint="eastAsia" w:ascii="方正楷体简体" w:hAnsi="方正楷体简体" w:eastAsia="方正楷体简体" w:cs="方正楷体简体"/>
          <w:b/>
          <w:color w:val="auto"/>
          <w:spacing w:val="-11"/>
          <w:sz w:val="32"/>
          <w:szCs w:val="32"/>
        </w:rPr>
        <w:t>人大代表建议和政协提案办理结果公开情况</w:t>
      </w:r>
    </w:p>
    <w:p>
      <w:pPr>
        <w:keepNext w:val="0"/>
        <w:keepLines w:val="0"/>
        <w:pageBreakBefore w:val="0"/>
        <w:numPr>
          <w:ilvl w:val="0"/>
          <w:numId w:val="0"/>
        </w:numPr>
        <w:kinsoku/>
        <w:overflowPunct/>
        <w:topLinePunct w:val="0"/>
        <w:autoSpaceDE/>
        <w:autoSpaceDN/>
        <w:bidi w:val="0"/>
        <w:adjustRightInd/>
        <w:snapToGrid/>
        <w:spacing w:line="520" w:lineRule="exact"/>
        <w:ind w:right="-105" w:rightChars="-50" w:firstLine="643" w:firstLineChars="200"/>
        <w:textAlignment w:val="auto"/>
        <w:rPr>
          <w:rFonts w:hint="eastAsia" w:ascii="方正楷体简体" w:hAnsi="方正楷体简体" w:eastAsia="方正楷体简体" w:cs="方正楷体简体"/>
          <w:b/>
          <w:color w:val="auto"/>
          <w:sz w:val="32"/>
          <w:szCs w:val="32"/>
        </w:rPr>
      </w:pPr>
      <w:r>
        <w:rPr>
          <w:rFonts w:hint="eastAsia" w:ascii="黑体" w:hAnsi="黑体" w:eastAsia="方正仿宋简体" w:cs="黑体"/>
          <w:b/>
          <w:bCs w:val="0"/>
          <w:i w:val="0"/>
          <w:caps w:val="0"/>
          <w:color w:val="auto"/>
          <w:spacing w:val="0"/>
          <w:kern w:val="0"/>
          <w:sz w:val="32"/>
          <w:szCs w:val="32"/>
          <w:shd w:val="clear" w:fill="FFFFFF"/>
          <w:lang w:val="en-US" w:eastAsia="zh-CN" w:bidi="ar"/>
        </w:rPr>
        <w:t>本年度我中心办理政协提案</w:t>
      </w:r>
      <w:r>
        <w:rPr>
          <w:rFonts w:hint="eastAsia" w:ascii="Times New Roman" w:hAnsi="Times New Roman" w:eastAsia="方正仿宋简体" w:cs="黑体"/>
          <w:b/>
          <w:bCs w:val="0"/>
          <w:i w:val="0"/>
          <w:caps w:val="0"/>
          <w:color w:val="auto"/>
          <w:spacing w:val="0"/>
          <w:kern w:val="0"/>
          <w:sz w:val="32"/>
          <w:szCs w:val="32"/>
          <w:shd w:val="clear" w:fill="FFFFFF"/>
          <w:lang w:val="en-US" w:eastAsia="zh-CN" w:bidi="ar"/>
        </w:rPr>
        <w:t>1</w:t>
      </w:r>
      <w:r>
        <w:rPr>
          <w:rFonts w:hint="eastAsia" w:ascii="黑体" w:hAnsi="黑体" w:eastAsia="方正仿宋简体" w:cs="黑体"/>
          <w:b/>
          <w:bCs w:val="0"/>
          <w:i w:val="0"/>
          <w:caps w:val="0"/>
          <w:color w:val="auto"/>
          <w:spacing w:val="0"/>
          <w:kern w:val="0"/>
          <w:sz w:val="32"/>
          <w:szCs w:val="32"/>
          <w:shd w:val="clear" w:fill="FFFFFF"/>
          <w:lang w:val="en-US" w:eastAsia="zh-CN" w:bidi="ar"/>
        </w:rPr>
        <w:t>件，已完成并进行了吸收采纳，办复率</w:t>
      </w:r>
      <w:r>
        <w:rPr>
          <w:rFonts w:hint="default" w:ascii="Times New Roman" w:hAnsi="Times New Roman" w:eastAsia="方正仿宋简体" w:cs="Times New Roman"/>
          <w:b/>
          <w:bCs w:val="0"/>
          <w:i w:val="0"/>
          <w:caps w:val="0"/>
          <w:color w:val="auto"/>
          <w:spacing w:val="0"/>
          <w:kern w:val="0"/>
          <w:sz w:val="32"/>
          <w:szCs w:val="32"/>
          <w:shd w:val="clear" w:fill="FFFFFF"/>
          <w:lang w:val="en-US" w:eastAsia="zh-CN" w:bidi="ar"/>
        </w:rPr>
        <w:t>100％</w:t>
      </w:r>
      <w:r>
        <w:rPr>
          <w:rFonts w:hint="eastAsia" w:ascii="黑体" w:hAnsi="黑体" w:eastAsia="方正仿宋简体" w:cs="黑体"/>
          <w:b/>
          <w:bCs w:val="0"/>
          <w:i w:val="0"/>
          <w:caps w:val="0"/>
          <w:color w:val="auto"/>
          <w:spacing w:val="0"/>
          <w:kern w:val="0"/>
          <w:sz w:val="32"/>
          <w:szCs w:val="32"/>
          <w:shd w:val="clear" w:fill="FFFFFF"/>
          <w:lang w:val="en-US" w:eastAsia="zh-CN" w:bidi="ar"/>
        </w:rPr>
        <w:t>。</w:t>
      </w:r>
    </w:p>
    <w:p>
      <w:pPr>
        <w:keepNext w:val="0"/>
        <w:keepLines w:val="0"/>
        <w:pageBreakBefore w:val="0"/>
        <w:numPr>
          <w:ilvl w:val="0"/>
          <w:numId w:val="2"/>
        </w:numPr>
        <w:kinsoku/>
        <w:overflowPunct/>
        <w:topLinePunct w:val="0"/>
        <w:autoSpaceDE/>
        <w:autoSpaceDN/>
        <w:bidi w:val="0"/>
        <w:adjustRightInd/>
        <w:snapToGrid/>
        <w:spacing w:line="520" w:lineRule="exact"/>
        <w:ind w:left="0" w:leftChars="0" w:right="-105" w:rightChars="-50" w:firstLine="643" w:firstLineChars="200"/>
        <w:textAlignment w:val="auto"/>
        <w:rPr>
          <w:rFonts w:hint="eastAsia" w:ascii="方正楷体简体" w:hAnsi="方正楷体简体" w:eastAsia="方正楷体简体" w:cs="方正楷体简体"/>
          <w:b/>
          <w:color w:val="auto"/>
          <w:sz w:val="32"/>
          <w:szCs w:val="32"/>
        </w:rPr>
      </w:pPr>
      <w:r>
        <w:rPr>
          <w:rFonts w:hint="eastAsia" w:ascii="方正楷体简体" w:hAnsi="方正楷体简体" w:eastAsia="方正楷体简体" w:cs="方正楷体简体"/>
          <w:b/>
          <w:color w:val="auto"/>
          <w:sz w:val="32"/>
          <w:szCs w:val="32"/>
        </w:rPr>
        <w:t>本</w:t>
      </w:r>
      <w:r>
        <w:rPr>
          <w:rFonts w:hint="eastAsia" w:ascii="方正楷体简体" w:hAnsi="方正楷体简体" w:eastAsia="方正楷体简体" w:cs="方正楷体简体"/>
          <w:b/>
          <w:color w:val="auto"/>
          <w:sz w:val="32"/>
          <w:szCs w:val="32"/>
          <w:lang w:eastAsia="zh-CN"/>
        </w:rPr>
        <w:t>单位</w:t>
      </w:r>
      <w:r>
        <w:rPr>
          <w:rFonts w:hint="eastAsia" w:ascii="方正楷体简体" w:hAnsi="方正楷体简体" w:eastAsia="方正楷体简体" w:cs="方正楷体简体"/>
          <w:b/>
          <w:color w:val="auto"/>
          <w:sz w:val="32"/>
          <w:szCs w:val="32"/>
        </w:rPr>
        <w:t>年度政务公开工作创新情况</w:t>
      </w:r>
    </w:p>
    <w:p>
      <w:pPr>
        <w:keepNext w:val="0"/>
        <w:keepLines w:val="0"/>
        <w:pageBreakBefore w:val="0"/>
        <w:numPr>
          <w:ilvl w:val="0"/>
          <w:numId w:val="0"/>
        </w:numPr>
        <w:kinsoku/>
        <w:overflowPunct/>
        <w:topLinePunct w:val="0"/>
        <w:autoSpaceDE/>
        <w:autoSpaceDN/>
        <w:bidi w:val="0"/>
        <w:adjustRightInd/>
        <w:snapToGrid/>
        <w:spacing w:line="520" w:lineRule="exact"/>
        <w:ind w:right="-105" w:rightChars="-50" w:firstLine="643" w:firstLineChars="200"/>
        <w:textAlignment w:val="auto"/>
        <w:rPr>
          <w:rFonts w:hint="eastAsia" w:ascii="方正楷体简体" w:hAnsi="方正楷体简体" w:eastAsia="方正楷体简体" w:cs="方正楷体简体"/>
          <w:b/>
          <w:color w:val="auto"/>
          <w:sz w:val="32"/>
          <w:szCs w:val="32"/>
        </w:rPr>
      </w:pPr>
      <w:r>
        <w:rPr>
          <w:rFonts w:hint="eastAsia" w:ascii="方正仿宋简体" w:hAnsi="方正仿宋简体" w:eastAsia="方正仿宋简体" w:cs="方正仿宋简体"/>
          <w:b/>
          <w:bCs/>
          <w:color w:val="auto"/>
          <w:kern w:val="0"/>
          <w:sz w:val="32"/>
          <w:szCs w:val="32"/>
          <w:lang w:val="en-US" w:eastAsia="zh-CN" w:bidi="ar"/>
        </w:rPr>
        <w:t>拓宽充实信息公开的内容。充分利用好区人民政府网站这一平台，实现所有依法应公开的信息全部网上公开，切实提高办事透明度，接受社会监督。创新政策文件解读形式，使群众和企业更加精准、快速、准确的获取相关政策信息。</w:t>
      </w:r>
    </w:p>
    <w:p>
      <w:pPr>
        <w:keepNext w:val="0"/>
        <w:keepLines w:val="0"/>
        <w:pageBreakBefore w:val="0"/>
        <w:kinsoku/>
        <w:overflowPunct/>
        <w:topLinePunct w:val="0"/>
        <w:autoSpaceDE/>
        <w:autoSpaceDN/>
        <w:bidi w:val="0"/>
        <w:adjustRightInd/>
        <w:snapToGrid/>
        <w:spacing w:line="520" w:lineRule="exact"/>
        <w:ind w:right="-105" w:rightChars="-50" w:firstLine="643" w:firstLineChars="200"/>
        <w:textAlignment w:val="auto"/>
        <w:rPr>
          <w:rFonts w:hint="eastAsia" w:ascii="方正楷体简体" w:hAnsi="方正楷体简体" w:eastAsia="方正楷体简体" w:cs="方正楷体简体"/>
          <w:b/>
          <w:color w:val="auto"/>
          <w:sz w:val="32"/>
          <w:szCs w:val="32"/>
        </w:rPr>
      </w:pPr>
      <w:r>
        <w:rPr>
          <w:rFonts w:hint="eastAsia" w:ascii="方正楷体简体" w:hAnsi="方正楷体简体" w:eastAsia="方正楷体简体" w:cs="方正楷体简体"/>
          <w:b/>
          <w:color w:val="auto"/>
          <w:sz w:val="32"/>
          <w:szCs w:val="32"/>
        </w:rPr>
        <w:t>（五）本</w:t>
      </w:r>
      <w:r>
        <w:rPr>
          <w:rFonts w:hint="eastAsia" w:ascii="方正楷体简体" w:hAnsi="方正楷体简体" w:eastAsia="方正楷体简体" w:cs="方正楷体简体"/>
          <w:b/>
          <w:color w:val="auto"/>
          <w:sz w:val="32"/>
          <w:szCs w:val="32"/>
          <w:lang w:eastAsia="zh-CN"/>
        </w:rPr>
        <w:t>单位</w:t>
      </w:r>
      <w:r>
        <w:rPr>
          <w:rFonts w:hint="eastAsia" w:ascii="方正楷体简体" w:hAnsi="方正楷体简体" w:eastAsia="方正楷体简体" w:cs="方正楷体简体"/>
          <w:b/>
          <w:color w:val="auto"/>
          <w:sz w:val="32"/>
          <w:szCs w:val="32"/>
        </w:rPr>
        <w:t>政府信息公开工作年度报告数据统计需要说明的事项</w:t>
      </w:r>
    </w:p>
    <w:p>
      <w:pPr>
        <w:spacing w:line="590" w:lineRule="exact"/>
        <w:ind w:right="-105" w:rightChars="-50" w:firstLine="643" w:firstLineChars="200"/>
        <w:rPr>
          <w:rFonts w:hint="eastAsia" w:ascii="方正楷体简体" w:hAnsi="方正楷体简体" w:eastAsia="方正楷体简体" w:cs="方正楷体简体"/>
          <w:b/>
          <w:color w:val="auto"/>
          <w:sz w:val="32"/>
          <w:szCs w:val="32"/>
        </w:rPr>
      </w:pPr>
      <w:r>
        <w:rPr>
          <w:rFonts w:hint="default" w:ascii="Times New Roman" w:hAnsi="Times New Roman" w:eastAsia="方正仿宋简体" w:cs="Times New Roman"/>
          <w:b/>
          <w:color w:val="auto"/>
          <w:sz w:val="32"/>
          <w:szCs w:val="32"/>
        </w:rPr>
        <w:t>本报告所列数据的统计期限自2022年1月1日起至2022年12月31日止。本报告电子版可在“中国·</w:t>
      </w:r>
      <w:r>
        <w:rPr>
          <w:rFonts w:hint="eastAsia" w:eastAsia="方正仿宋简体" w:cs="Times New Roman"/>
          <w:b/>
          <w:color w:val="auto"/>
          <w:sz w:val="32"/>
          <w:szCs w:val="32"/>
          <w:lang w:val="en-US" w:eastAsia="zh-CN"/>
        </w:rPr>
        <w:t>曲阜</w:t>
      </w:r>
      <w:r>
        <w:rPr>
          <w:rFonts w:hint="default" w:ascii="Times New Roman" w:hAnsi="Times New Roman" w:eastAsia="方正仿宋简体" w:cs="Times New Roman"/>
          <w:b/>
          <w:color w:val="auto"/>
          <w:sz w:val="32"/>
          <w:szCs w:val="32"/>
        </w:rPr>
        <w:t>”政府门户网站（</w:t>
      </w:r>
      <w:r>
        <w:rPr>
          <w:rFonts w:hint="default" w:ascii="Times New Roman" w:hAnsi="Times New Roman" w:eastAsia="方正仿宋简体" w:cs="Times New Roman"/>
          <w:b/>
          <w:color w:val="auto"/>
          <w:sz w:val="32"/>
          <w:szCs w:val="32"/>
          <w:lang w:val="en-US" w:eastAsia="zh-CN"/>
        </w:rPr>
        <w:t>www.qufu.gov.cn</w:t>
      </w:r>
      <w:r>
        <w:rPr>
          <w:rFonts w:hint="default" w:ascii="Times New Roman" w:hAnsi="Times New Roman" w:eastAsia="方正仿宋简体" w:cs="Times New Roman"/>
          <w:b/>
          <w:color w:val="auto"/>
          <w:sz w:val="32"/>
          <w:szCs w:val="32"/>
        </w:rPr>
        <w:t>）查阅或下载。如对本报告有疑问，请与</w:t>
      </w:r>
      <w:r>
        <w:rPr>
          <w:rFonts w:hint="eastAsia" w:ascii="Times New Roman" w:hAnsi="Times New Roman" w:eastAsia="方正仿宋简体" w:cs="Times New Roman"/>
          <w:b/>
          <w:color w:val="auto"/>
          <w:kern w:val="0"/>
          <w:sz w:val="32"/>
          <w:szCs w:val="32"/>
          <w:lang w:val="en-US" w:eastAsia="zh-CN" w:bidi="ar"/>
        </w:rPr>
        <w:t>曲阜市金融发展服务中心</w:t>
      </w:r>
      <w:r>
        <w:rPr>
          <w:rFonts w:hint="default" w:ascii="Times New Roman" w:hAnsi="Times New Roman" w:eastAsia="方正仿宋简体" w:cs="Times New Roman"/>
          <w:b/>
          <w:color w:val="auto"/>
          <w:sz w:val="32"/>
          <w:szCs w:val="32"/>
        </w:rPr>
        <w:t>联系（地址：</w:t>
      </w:r>
      <w:r>
        <w:rPr>
          <w:rFonts w:hint="eastAsia" w:ascii="Times New Roman" w:hAnsi="Times New Roman" w:eastAsia="方正仿宋简体" w:cs="Times New Roman"/>
          <w:b/>
          <w:color w:val="auto"/>
          <w:sz w:val="32"/>
          <w:szCs w:val="32"/>
          <w:lang w:eastAsia="zh-CN"/>
        </w:rPr>
        <w:t>舞雩台路</w:t>
      </w:r>
      <w:r>
        <w:rPr>
          <w:rFonts w:hint="eastAsia" w:ascii="Times New Roman" w:hAnsi="Times New Roman" w:eastAsia="方正仿宋简体" w:cs="Times New Roman"/>
          <w:b/>
          <w:color w:val="auto"/>
          <w:sz w:val="32"/>
          <w:szCs w:val="32"/>
          <w:lang w:val="en-US" w:eastAsia="zh-CN"/>
        </w:rPr>
        <w:t>7号</w:t>
      </w:r>
      <w:r>
        <w:rPr>
          <w:rFonts w:hint="default" w:ascii="Times New Roman" w:hAnsi="Times New Roman" w:eastAsia="方正仿宋简体" w:cs="Times New Roman"/>
          <w:b/>
          <w:color w:val="auto"/>
          <w:sz w:val="32"/>
          <w:szCs w:val="32"/>
        </w:rPr>
        <w:t>，联系电话：0537—</w:t>
      </w:r>
      <w:r>
        <w:rPr>
          <w:rFonts w:hint="eastAsia" w:ascii="Times New Roman" w:hAnsi="Times New Roman" w:eastAsia="方正仿宋简体" w:cs="Times New Roman"/>
          <w:b/>
          <w:color w:val="auto"/>
          <w:sz w:val="32"/>
          <w:szCs w:val="32"/>
          <w:lang w:val="en-US" w:eastAsia="zh-CN"/>
        </w:rPr>
        <w:t>4496615</w:t>
      </w:r>
      <w:r>
        <w:rPr>
          <w:rFonts w:hint="default" w:ascii="Times New Roman" w:hAnsi="Times New Roman" w:eastAsia="方正仿宋简体" w:cs="Times New Roman"/>
          <w:b/>
          <w:color w:val="auto"/>
          <w:sz w:val="32"/>
          <w:szCs w:val="32"/>
        </w:rPr>
        <w:t>）。</w:t>
      </w:r>
    </w:p>
    <w:p>
      <w:pPr>
        <w:keepNext w:val="0"/>
        <w:keepLines w:val="0"/>
        <w:pageBreakBefore w:val="0"/>
        <w:kinsoku/>
        <w:overflowPunct/>
        <w:topLinePunct w:val="0"/>
        <w:autoSpaceDE/>
        <w:autoSpaceDN/>
        <w:bidi w:val="0"/>
        <w:adjustRightInd/>
        <w:snapToGrid/>
        <w:spacing w:line="520" w:lineRule="exact"/>
        <w:ind w:right="-105" w:rightChars="-50" w:firstLine="643" w:firstLineChars="200"/>
        <w:textAlignment w:val="auto"/>
        <w:rPr>
          <w:rFonts w:hint="eastAsia" w:ascii="方正楷体简体" w:hAnsi="方正楷体简体" w:eastAsia="方正楷体简体" w:cs="方正楷体简体"/>
          <w:b/>
          <w:color w:val="auto"/>
          <w:sz w:val="32"/>
          <w:szCs w:val="32"/>
        </w:rPr>
      </w:pPr>
      <w:r>
        <w:rPr>
          <w:rFonts w:hint="eastAsia" w:ascii="方正楷体简体" w:hAnsi="方正楷体简体" w:eastAsia="方正楷体简体" w:cs="方正楷体简体"/>
          <w:b/>
          <w:color w:val="auto"/>
          <w:sz w:val="32"/>
          <w:szCs w:val="32"/>
        </w:rPr>
        <w:t>（六）本</w:t>
      </w:r>
      <w:r>
        <w:rPr>
          <w:rFonts w:hint="eastAsia" w:ascii="方正楷体简体" w:hAnsi="方正楷体简体" w:eastAsia="方正楷体简体" w:cs="方正楷体简体"/>
          <w:b/>
          <w:color w:val="auto"/>
          <w:sz w:val="32"/>
          <w:szCs w:val="32"/>
          <w:lang w:eastAsia="zh-CN"/>
        </w:rPr>
        <w:t>单位</w:t>
      </w:r>
      <w:r>
        <w:rPr>
          <w:rFonts w:hint="eastAsia" w:ascii="方正楷体简体" w:hAnsi="方正楷体简体" w:eastAsia="方正楷体简体" w:cs="方正楷体简体"/>
          <w:b/>
          <w:color w:val="auto"/>
          <w:sz w:val="32"/>
          <w:szCs w:val="32"/>
        </w:rPr>
        <w:t>认为需要报告的其他事项</w:t>
      </w:r>
    </w:p>
    <w:p>
      <w:pPr>
        <w:keepNext w:val="0"/>
        <w:keepLines w:val="0"/>
        <w:pageBreakBefore w:val="0"/>
        <w:kinsoku/>
        <w:overflowPunct/>
        <w:topLinePunct w:val="0"/>
        <w:autoSpaceDE/>
        <w:autoSpaceDN/>
        <w:bidi w:val="0"/>
        <w:adjustRightInd/>
        <w:snapToGrid/>
        <w:spacing w:line="520" w:lineRule="exact"/>
        <w:ind w:right="-105" w:rightChars="-50" w:firstLine="643" w:firstLineChars="200"/>
        <w:textAlignment w:val="auto"/>
        <w:rPr>
          <w:rFonts w:hint="eastAsia" w:ascii="方正楷体简体" w:hAnsi="方正楷体简体" w:eastAsia="方正楷体简体" w:cs="方正楷体简体"/>
          <w:b/>
          <w:color w:val="auto"/>
          <w:sz w:val="32"/>
          <w:szCs w:val="32"/>
          <w:lang w:eastAsia="zh-CN"/>
        </w:rPr>
      </w:pPr>
      <w:r>
        <w:rPr>
          <w:rFonts w:hint="eastAsia" w:ascii="方正仿宋简体" w:hAnsi="方正仿宋简体" w:eastAsia="方正仿宋简体" w:cs="方正仿宋简体"/>
          <w:b/>
          <w:color w:val="auto"/>
          <w:sz w:val="32"/>
          <w:szCs w:val="32"/>
          <w:lang w:eastAsia="zh-CN"/>
        </w:rPr>
        <w:t>无</w:t>
      </w:r>
    </w:p>
    <w:p>
      <w:pPr>
        <w:keepNext w:val="0"/>
        <w:keepLines w:val="0"/>
        <w:pageBreakBefore w:val="0"/>
        <w:kinsoku/>
        <w:overflowPunct/>
        <w:topLinePunct w:val="0"/>
        <w:autoSpaceDE/>
        <w:autoSpaceDN/>
        <w:bidi w:val="0"/>
        <w:adjustRightInd/>
        <w:snapToGrid/>
        <w:spacing w:line="520" w:lineRule="exact"/>
        <w:ind w:right="-105" w:rightChars="-50" w:firstLine="643" w:firstLineChars="200"/>
        <w:textAlignment w:val="auto"/>
        <w:rPr>
          <w:rFonts w:hint="eastAsia" w:ascii="黑体" w:hAnsi="黑体" w:eastAsia="方正仿宋简体" w:cs="黑体"/>
          <w:b/>
          <w:bCs w:val="0"/>
          <w:i w:val="0"/>
          <w:caps w:val="0"/>
          <w:color w:val="auto"/>
          <w:spacing w:val="0"/>
          <w:kern w:val="0"/>
          <w:sz w:val="32"/>
          <w:szCs w:val="32"/>
          <w:shd w:val="clear" w:fill="FFFFFF"/>
          <w:lang w:val="en-US" w:eastAsia="zh-CN" w:bidi="ar"/>
        </w:rPr>
      </w:pPr>
      <w:r>
        <w:rPr>
          <w:rFonts w:hint="eastAsia" w:ascii="方正楷体简体" w:hAnsi="方正楷体简体" w:eastAsia="方正楷体简体" w:cs="方正楷体简体"/>
          <w:b/>
          <w:color w:val="auto"/>
          <w:sz w:val="32"/>
          <w:szCs w:val="32"/>
        </w:rPr>
        <w:t>（七）其他有关文件专门要求通过政府信息公开工作年度报告予以报告的事项。</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right="0" w:rightChars="0" w:firstLine="643" w:firstLineChars="200"/>
        <w:jc w:val="both"/>
        <w:textAlignment w:val="auto"/>
        <w:rPr>
          <w:rFonts w:hint="default" w:ascii="黑体" w:hAnsi="黑体" w:eastAsia="方正仿宋简体" w:cs="黑体"/>
          <w:b/>
          <w:bCs w:val="0"/>
          <w:i w:val="0"/>
          <w:caps w:val="0"/>
          <w:color w:val="auto"/>
          <w:spacing w:val="0"/>
          <w:kern w:val="0"/>
          <w:sz w:val="32"/>
          <w:szCs w:val="32"/>
          <w:shd w:val="clear" w:fill="FFFFFF"/>
          <w:lang w:val="en-US" w:eastAsia="zh-CN" w:bidi="ar"/>
        </w:rPr>
      </w:pPr>
      <w:r>
        <w:rPr>
          <w:rFonts w:hint="eastAsia" w:ascii="黑体" w:hAnsi="黑体" w:eastAsia="方正仿宋简体" w:cs="黑体"/>
          <w:b/>
          <w:bCs w:val="0"/>
          <w:i w:val="0"/>
          <w:caps w:val="0"/>
          <w:color w:val="auto"/>
          <w:spacing w:val="0"/>
          <w:kern w:val="0"/>
          <w:sz w:val="32"/>
          <w:szCs w:val="32"/>
          <w:shd w:val="clear" w:fill="FFFFFF"/>
          <w:lang w:val="en-US" w:eastAsia="zh-CN" w:bidi="ar"/>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方正宋黑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EA3F6"/>
    <w:multiLevelType w:val="singleLevel"/>
    <w:tmpl w:val="909EA3F6"/>
    <w:lvl w:ilvl="0" w:tentative="0">
      <w:start w:val="5"/>
      <w:numFmt w:val="chineseCounting"/>
      <w:suff w:val="nothing"/>
      <w:lvlText w:val="%1、"/>
      <w:lvlJc w:val="left"/>
      <w:rPr>
        <w:rFonts w:hint="eastAsia"/>
      </w:rPr>
    </w:lvl>
  </w:abstractNum>
  <w:abstractNum w:abstractNumId="1">
    <w:nsid w:val="AB9EAA16"/>
    <w:multiLevelType w:val="singleLevel"/>
    <w:tmpl w:val="AB9EAA1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MDMxMGRhYWFiZDVjN2YzYTc0NzU3N2VjOWVkYzUifQ=="/>
  </w:docVars>
  <w:rsids>
    <w:rsidRoot w:val="11AF18C8"/>
    <w:rsid w:val="0F84395A"/>
    <w:rsid w:val="10264A11"/>
    <w:rsid w:val="11AF18C8"/>
    <w:rsid w:val="12FC707A"/>
    <w:rsid w:val="14D91B87"/>
    <w:rsid w:val="15B36865"/>
    <w:rsid w:val="197607B7"/>
    <w:rsid w:val="1A4268EB"/>
    <w:rsid w:val="1A475CB0"/>
    <w:rsid w:val="1A6A77C7"/>
    <w:rsid w:val="23587265"/>
    <w:rsid w:val="36BE50F4"/>
    <w:rsid w:val="387463B2"/>
    <w:rsid w:val="3CFB2F7F"/>
    <w:rsid w:val="3FD80AC2"/>
    <w:rsid w:val="45124F88"/>
    <w:rsid w:val="46F069A0"/>
    <w:rsid w:val="4BE61701"/>
    <w:rsid w:val="570421C6"/>
    <w:rsid w:val="57F86260"/>
    <w:rsid w:val="5CEC7251"/>
    <w:rsid w:val="5EBE53E1"/>
    <w:rsid w:val="63B416F1"/>
    <w:rsid w:val="6DCE3893"/>
    <w:rsid w:val="77181135"/>
    <w:rsid w:val="7A8E2DA8"/>
    <w:rsid w:val="7CCA3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qFormat/>
    <w:uiPriority w:val="0"/>
    <w:rPr>
      <w:color w:val="333333"/>
      <w:u w:val="none"/>
    </w:rPr>
  </w:style>
  <w:style w:type="character" w:styleId="6">
    <w:name w:val="Hyperlink"/>
    <w:basedOn w:val="4"/>
    <w:qFormat/>
    <w:uiPriority w:val="0"/>
    <w:rPr>
      <w:color w:val="333333"/>
      <w:u w:val="none"/>
    </w:rPr>
  </w:style>
  <w:style w:type="character" w:customStyle="1" w:styleId="7">
    <w:name w:val="not([class*=suffix])"/>
    <w:basedOn w:val="4"/>
    <w:qFormat/>
    <w:uiPriority w:val="0"/>
    <w:rPr>
      <w:sz w:val="19"/>
      <w:szCs w:val="19"/>
    </w:rPr>
  </w:style>
  <w:style w:type="character" w:customStyle="1" w:styleId="8">
    <w:name w:val="not([class*=suffix])1"/>
    <w:basedOn w:val="4"/>
    <w:qFormat/>
    <w:uiPriority w:val="0"/>
  </w:style>
  <w:style w:type="character" w:customStyle="1" w:styleId="9">
    <w:name w:val="u_page"/>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spc="0" baseline="0">
                <a:solidFill>
                  <a:sysClr val="windowText" lastClr="000000"/>
                </a:solidFill>
                <a:latin typeface="方正宋黑简体" panose="02010601030101010101" charset="-122"/>
                <a:ea typeface="方正宋黑简体" panose="02010601030101010101" charset="-122"/>
                <a:cs typeface="方正宋黑简体" panose="02010601030101010101" charset="-122"/>
                <a:sym typeface="方正宋黑简体" panose="02010601030101010101" charset="-122"/>
              </a:defRPr>
            </a:pPr>
            <a:r>
              <a:rPr sz="1800" b="1">
                <a:solidFill>
                  <a:sysClr val="windowText" lastClr="000000"/>
                </a:solidFill>
                <a:latin typeface="方正宋黑简体" panose="02010601030101010101" charset="-122"/>
                <a:ea typeface="方正宋黑简体" panose="02010601030101010101" charset="-122"/>
                <a:cs typeface="方正宋黑简体" panose="02010601030101010101" charset="-122"/>
                <a:sym typeface="方正宋黑简体" panose="02010601030101010101" charset="-122"/>
              </a:rPr>
              <a:t>主动公开情况</a:t>
            </a:r>
            <a:endParaRPr sz="1800" b="1">
              <a:solidFill>
                <a:sysClr val="windowText" lastClr="000000"/>
              </a:solidFill>
              <a:latin typeface="方正宋黑简体" panose="02010601030101010101" charset="-122"/>
              <a:ea typeface="方正宋黑简体" panose="02010601030101010101" charset="-122"/>
              <a:cs typeface="方正宋黑简体" panose="02010601030101010101" charset="-122"/>
              <a:sym typeface="方正宋黑简体" panose="02010601030101010101" charset="-122"/>
            </a:endParaRPr>
          </a:p>
        </c:rich>
      </c:tx>
      <c:layout/>
      <c:overlay val="0"/>
      <c:spPr>
        <a:noFill/>
        <a:ln>
          <a:noFill/>
        </a:ln>
        <a:effectLst/>
      </c:spPr>
    </c:title>
    <c:autoTitleDeleted val="0"/>
    <c:view3D>
      <c:rotX val="30"/>
      <c:rotY val="0"/>
      <c:depthPercent val="100"/>
      <c:rAngAx val="0"/>
    </c:view3D>
    <c:plotArea>
      <c:layout/>
      <c:pie3DChart>
        <c:varyColors val="1"/>
        <c:ser>
          <c:idx val="0"/>
          <c:order val="0"/>
          <c:tx>
            <c:strRef>
              <c:f>Sheet1!$B$1</c:f>
              <c:strCache>
                <c:ptCount val="1"/>
                <c:pt idx="0">
                  <c:v>主动公开情况</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Pt>
            <c:idx val="4"/>
            <c:bubble3D val="0"/>
            <c:spPr>
              <a:solidFill>
                <a:schemeClr val="accent5"/>
              </a:solidFill>
              <a:ln w="25400">
                <a:solidFill>
                  <a:schemeClr val="lt1"/>
                </a:solidFill>
              </a:ln>
              <a:effectLst/>
              <a:scene3d>
                <a:camera prst="orthographicFront"/>
                <a:lightRig rig="threePt" dir="t"/>
              </a:scene3d>
              <a:sp3d contourW="25400"/>
            </c:spPr>
          </c:dPt>
          <c:dPt>
            <c:idx val="5"/>
            <c:bubble3D val="0"/>
            <c:spPr>
              <a:solidFill>
                <a:schemeClr val="accent6"/>
              </a:solidFill>
              <a:ln w="25400">
                <a:solidFill>
                  <a:schemeClr val="lt1"/>
                </a:solidFill>
              </a:ln>
              <a:effectLst/>
              <a:scene3d>
                <a:camera prst="orthographicFront"/>
                <a:lightRig rig="threePt" dir="t"/>
              </a:scene3d>
              <a:sp3d contourW="25400"/>
            </c:spPr>
          </c:dPt>
          <c:dPt>
            <c:idx val="6"/>
            <c:bubble3D val="0"/>
            <c:spPr>
              <a:solidFill>
                <a:schemeClr val="accent1">
                  <a:lumMod val="60000"/>
                </a:schemeClr>
              </a:solidFill>
              <a:ln w="25400">
                <a:solidFill>
                  <a:schemeClr val="lt1"/>
                </a:solidFill>
              </a:ln>
              <a:effectLst/>
              <a:scene3d>
                <a:camera prst="orthographicFront"/>
                <a:lightRig rig="threePt" dir="t"/>
              </a:scene3d>
              <a:sp3d contourW="25400"/>
            </c:spPr>
          </c:dPt>
          <c:dPt>
            <c:idx val="7"/>
            <c:bubble3D val="0"/>
            <c:spPr>
              <a:solidFill>
                <a:schemeClr val="accent2">
                  <a:lumMod val="60000"/>
                </a:schemeClr>
              </a:solidFill>
              <a:ln w="25400">
                <a:solidFill>
                  <a:schemeClr val="lt1"/>
                </a:solidFill>
              </a:ln>
              <a:effectLst/>
              <a:scene3d>
                <a:camera prst="orthographicFront"/>
                <a:lightRig rig="threePt" dir="t"/>
              </a:scene3d>
              <a:sp3d contourW="25400"/>
            </c:spPr>
          </c:dPt>
          <c:dPt>
            <c:idx val="8"/>
            <c:bubble3D val="0"/>
            <c:spPr>
              <a:solidFill>
                <a:schemeClr val="accent3">
                  <a:lumMod val="60000"/>
                </a:schemeClr>
              </a:solidFill>
              <a:ln w="25400">
                <a:solidFill>
                  <a:schemeClr val="lt1"/>
                </a:solidFill>
              </a:ln>
              <a:effectLst/>
              <a:scene3d>
                <a:camera prst="orthographicFront"/>
                <a:lightRig rig="threePt" dir="t"/>
              </a:scene3d>
              <a:sp3d contourW="25400"/>
            </c:spPr>
          </c:dPt>
          <c:dPt>
            <c:idx val="9"/>
            <c:bubble3D val="0"/>
            <c:spPr>
              <a:solidFill>
                <a:schemeClr val="accent4">
                  <a:lumMod val="60000"/>
                </a:schemeClr>
              </a:solidFill>
              <a:ln w="25400">
                <a:solidFill>
                  <a:schemeClr val="lt1"/>
                </a:solidFill>
              </a:ln>
              <a:effectLst/>
              <a:scene3d>
                <a:camera prst="orthographicFront"/>
                <a:lightRig rig="threePt" dir="t"/>
              </a:scene3d>
              <a:sp3d contourW="25400"/>
            </c:spPr>
          </c:dPt>
          <c:dPt>
            <c:idx val="10"/>
            <c:bubble3D val="0"/>
            <c:spPr>
              <a:solidFill>
                <a:schemeClr val="accent5">
                  <a:lumMod val="60000"/>
                </a:schemeClr>
              </a:solidFill>
              <a:ln w="25400">
                <a:solidFill>
                  <a:schemeClr val="lt1"/>
                </a:solidFill>
              </a:ln>
              <a:effectLst/>
              <a:scene3d>
                <a:camera prst="orthographicFront"/>
                <a:lightRig rig="threePt" dir="t"/>
              </a:scene3d>
              <a:sp3d contourW="25400"/>
            </c:spPr>
          </c:dPt>
          <c:dPt>
            <c:idx val="11"/>
            <c:bubble3D val="0"/>
            <c:spPr>
              <a:solidFill>
                <a:schemeClr val="accent6">
                  <a:lumMod val="60000"/>
                </a:schemeClr>
              </a:solidFill>
              <a:ln w="25400">
                <a:solidFill>
                  <a:schemeClr val="lt1"/>
                </a:solidFill>
              </a:ln>
              <a:effectLst/>
              <a:scene3d>
                <a:camera prst="orthographicFront"/>
                <a:lightRig rig="threePt" dir="t"/>
              </a:scene3d>
              <a:sp3d contourW="25400"/>
            </c:spPr>
          </c:dPt>
          <c:dPt>
            <c:idx val="12"/>
            <c:bubble3D val="0"/>
            <c:spPr>
              <a:solidFill>
                <a:schemeClr val="accent1">
                  <a:lumMod val="80000"/>
                  <a:lumOff val="20000"/>
                </a:schemeClr>
              </a:solidFill>
              <a:ln w="25400">
                <a:solidFill>
                  <a:schemeClr val="lt1"/>
                </a:solidFill>
              </a:ln>
              <a:effectLst/>
              <a:scene3d>
                <a:camera prst="orthographicFront"/>
                <a:lightRig rig="threePt" dir="t"/>
              </a:scene3d>
              <a:sp3d contourW="25400"/>
            </c:spPr>
          </c:dPt>
          <c:dLbls>
            <c:delete val="1"/>
          </c:dLbls>
          <c:cat>
            <c:strRef>
              <c:f>Sheet1!$A$2:$A$14</c:f>
              <c:strCache>
                <c:ptCount val="13"/>
                <c:pt idx="0">
                  <c:v>法规文件</c:v>
                </c:pt>
                <c:pt idx="1">
                  <c:v>政策解读</c:v>
                </c:pt>
                <c:pt idx="2">
                  <c:v>财政信息</c:v>
                </c:pt>
                <c:pt idx="3">
                  <c:v>政务公开业务培训</c:v>
                </c:pt>
                <c:pt idx="4">
                  <c:v>领导信息</c:v>
                </c:pt>
                <c:pt idx="5">
                  <c:v>基本信息</c:v>
                </c:pt>
                <c:pt idx="6">
                  <c:v>主要职责</c:v>
                </c:pt>
                <c:pt idx="7">
                  <c:v>内设机构</c:v>
                </c:pt>
                <c:pt idx="8">
                  <c:v>年度工作计划</c:v>
                </c:pt>
                <c:pt idx="9">
                  <c:v>主动公开基本目录</c:v>
                </c:pt>
                <c:pt idx="10">
                  <c:v>政务公开组织领导</c:v>
                </c:pt>
                <c:pt idx="11">
                  <c:v>政务公开工作推进</c:v>
                </c:pt>
                <c:pt idx="12">
                  <c:v>政协提案</c:v>
                </c:pt>
              </c:strCache>
            </c:strRef>
          </c:cat>
          <c:val>
            <c:numRef>
              <c:f>Sheet1!$B$2:$B$14</c:f>
              <c:numCache>
                <c:formatCode>General</c:formatCode>
                <c:ptCount val="13"/>
                <c:pt idx="0">
                  <c:v>4</c:v>
                </c:pt>
                <c:pt idx="1">
                  <c:v>2</c:v>
                </c:pt>
                <c:pt idx="2">
                  <c:v>2</c:v>
                </c:pt>
                <c:pt idx="3">
                  <c:v>2</c:v>
                </c:pt>
                <c:pt idx="4">
                  <c:v>1</c:v>
                </c:pt>
                <c:pt idx="5">
                  <c:v>1</c:v>
                </c:pt>
                <c:pt idx="6">
                  <c:v>1</c:v>
                </c:pt>
                <c:pt idx="7">
                  <c:v>1</c:v>
                </c:pt>
                <c:pt idx="8">
                  <c:v>1</c:v>
                </c:pt>
                <c:pt idx="9">
                  <c:v>1</c:v>
                </c:pt>
                <c:pt idx="10">
                  <c:v>1</c:v>
                </c:pt>
                <c:pt idx="11">
                  <c:v>1</c:v>
                </c:pt>
                <c:pt idx="12">
                  <c:v>1</c:v>
                </c:pt>
              </c:numCache>
            </c:numRef>
          </c:val>
        </c:ser>
        <c:dLbls>
          <c:showLegendKey val="0"/>
          <c:showVal val="0"/>
          <c:showCatName val="0"/>
          <c:showSerName val="0"/>
          <c:showPercent val="0"/>
          <c:showBubbleSize val="0"/>
        </c:dLbls>
      </c:pie3DChart>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ysClr val="windowText" lastClr="000000"/>
                </a:solidFill>
                <a:latin typeface="方正宋黑简体" panose="02010601030101010101" charset="-122"/>
                <a:ea typeface="方正宋黑简体" panose="02010601030101010101" charset="-122"/>
                <a:cs typeface="方正宋黑简体" panose="02010601030101010101" charset="-122"/>
                <a:sym typeface="方正宋黑简体" panose="02010601030101010101" charset="-122"/>
              </a:defRPr>
            </a:pPr>
          </a:p>
        </c:txPr>
      </c:legendEntry>
      <c:legendEntry>
        <c:idx val="1"/>
        <c:txPr>
          <a:bodyPr rot="0" spcFirstLastPara="0" vertOverflow="ellipsis" vert="horz" wrap="square" anchor="ctr" anchorCtr="1"/>
          <a:lstStyle/>
          <a:p>
            <a:pPr>
              <a:defRPr lang="zh-CN" sz="900" b="1" i="0" u="none" strike="noStrike" kern="1200" baseline="0">
                <a:solidFill>
                  <a:sysClr val="windowText" lastClr="000000"/>
                </a:solidFill>
                <a:latin typeface="方正宋黑简体" panose="02010601030101010101" charset="-122"/>
                <a:ea typeface="方正宋黑简体" panose="02010601030101010101" charset="-122"/>
                <a:cs typeface="方正宋黑简体" panose="02010601030101010101" charset="-122"/>
                <a:sym typeface="方正宋黑简体" panose="02010601030101010101" charset="-122"/>
              </a:defRPr>
            </a:pPr>
          </a:p>
        </c:txPr>
      </c:legendEntry>
      <c:legendEntry>
        <c:idx val="2"/>
        <c:txPr>
          <a:bodyPr rot="0" spcFirstLastPara="0" vertOverflow="ellipsis" vert="horz" wrap="square" anchor="ctr" anchorCtr="1"/>
          <a:lstStyle/>
          <a:p>
            <a:pPr>
              <a:defRPr lang="zh-CN" sz="900" b="1" i="0" u="none" strike="noStrike" kern="1200" baseline="0">
                <a:solidFill>
                  <a:sysClr val="windowText" lastClr="000000"/>
                </a:solidFill>
                <a:latin typeface="方正宋黑简体" panose="02010601030101010101" charset="-122"/>
                <a:ea typeface="方正宋黑简体" panose="02010601030101010101" charset="-122"/>
                <a:cs typeface="方正宋黑简体" panose="02010601030101010101" charset="-122"/>
                <a:sym typeface="方正宋黑简体" panose="02010601030101010101" charset="-122"/>
              </a:defRPr>
            </a:pPr>
          </a:p>
        </c:txPr>
      </c:legendEntry>
      <c:legendEntry>
        <c:idx val="3"/>
        <c:txPr>
          <a:bodyPr rot="0" spcFirstLastPara="0" vertOverflow="ellipsis" vert="horz" wrap="square" anchor="ctr" anchorCtr="1"/>
          <a:lstStyle/>
          <a:p>
            <a:pPr>
              <a:defRPr lang="zh-CN" sz="900" b="1" i="0" u="none" strike="noStrike" kern="1200" baseline="0">
                <a:solidFill>
                  <a:sysClr val="windowText" lastClr="000000"/>
                </a:solidFill>
                <a:latin typeface="方正宋黑简体" panose="02010601030101010101" charset="-122"/>
                <a:ea typeface="方正宋黑简体" panose="02010601030101010101" charset="-122"/>
                <a:cs typeface="方正宋黑简体" panose="02010601030101010101" charset="-122"/>
                <a:sym typeface="方正宋黑简体" panose="02010601030101010101" charset="-122"/>
              </a:defRPr>
            </a:pPr>
          </a:p>
        </c:txPr>
      </c:legendEntry>
      <c:legendEntry>
        <c:idx val="4"/>
        <c:txPr>
          <a:bodyPr rot="0" spcFirstLastPara="0" vertOverflow="ellipsis" vert="horz" wrap="square" anchor="ctr" anchorCtr="1"/>
          <a:lstStyle/>
          <a:p>
            <a:pPr>
              <a:defRPr lang="zh-CN" sz="900" b="1" i="0" u="none" strike="noStrike" kern="1200" baseline="0">
                <a:solidFill>
                  <a:sysClr val="windowText" lastClr="000000"/>
                </a:solidFill>
                <a:latin typeface="方正宋黑简体" panose="02010601030101010101" charset="-122"/>
                <a:ea typeface="方正宋黑简体" panose="02010601030101010101" charset="-122"/>
                <a:cs typeface="方正宋黑简体" panose="02010601030101010101" charset="-122"/>
                <a:sym typeface="方正宋黑简体" panose="02010601030101010101" charset="-122"/>
              </a:defRPr>
            </a:pPr>
          </a:p>
        </c:txPr>
      </c:legendEntry>
      <c:legendEntry>
        <c:idx val="5"/>
        <c:txPr>
          <a:bodyPr rot="0" spcFirstLastPara="0" vertOverflow="ellipsis" vert="horz" wrap="square" anchor="ctr" anchorCtr="1"/>
          <a:lstStyle/>
          <a:p>
            <a:pPr>
              <a:defRPr lang="zh-CN" sz="900" b="1" i="0" u="none" strike="noStrike" kern="1200" baseline="0">
                <a:solidFill>
                  <a:sysClr val="windowText" lastClr="000000"/>
                </a:solidFill>
                <a:latin typeface="方正宋黑简体" panose="02010601030101010101" charset="-122"/>
                <a:ea typeface="方正宋黑简体" panose="02010601030101010101" charset="-122"/>
                <a:cs typeface="方正宋黑简体" panose="02010601030101010101" charset="-122"/>
                <a:sym typeface="方正宋黑简体" panose="02010601030101010101" charset="-122"/>
              </a:defRPr>
            </a:pPr>
          </a:p>
        </c:txPr>
      </c:legendEntry>
      <c:legendEntry>
        <c:idx val="6"/>
        <c:txPr>
          <a:bodyPr rot="0" spcFirstLastPara="0" vertOverflow="ellipsis" vert="horz" wrap="square" anchor="ctr" anchorCtr="1"/>
          <a:lstStyle/>
          <a:p>
            <a:pPr>
              <a:defRPr lang="zh-CN" sz="900" b="1" i="0" u="none" strike="noStrike" kern="1200" baseline="0">
                <a:solidFill>
                  <a:sysClr val="windowText" lastClr="000000"/>
                </a:solidFill>
                <a:latin typeface="方正宋黑简体" panose="02010601030101010101" charset="-122"/>
                <a:ea typeface="方正宋黑简体" panose="02010601030101010101" charset="-122"/>
                <a:cs typeface="方正宋黑简体" panose="02010601030101010101" charset="-122"/>
                <a:sym typeface="方正宋黑简体" panose="02010601030101010101" charset="-122"/>
              </a:defRPr>
            </a:pPr>
          </a:p>
        </c:txPr>
      </c:legendEntry>
      <c:legendEntry>
        <c:idx val="7"/>
        <c:txPr>
          <a:bodyPr rot="0" spcFirstLastPara="0" vertOverflow="ellipsis" vert="horz" wrap="square" anchor="ctr" anchorCtr="1"/>
          <a:lstStyle/>
          <a:p>
            <a:pPr>
              <a:defRPr lang="zh-CN" sz="900" b="1" i="0" u="none" strike="noStrike" kern="1200" baseline="0">
                <a:solidFill>
                  <a:sysClr val="windowText" lastClr="000000"/>
                </a:solidFill>
                <a:latin typeface="方正宋黑简体" panose="02010601030101010101" charset="-122"/>
                <a:ea typeface="方正宋黑简体" panose="02010601030101010101" charset="-122"/>
                <a:cs typeface="方正宋黑简体" panose="02010601030101010101" charset="-122"/>
                <a:sym typeface="方正宋黑简体" panose="02010601030101010101" charset="-122"/>
              </a:defRPr>
            </a:pPr>
          </a:p>
        </c:txPr>
      </c:legendEntry>
      <c:legendEntry>
        <c:idx val="8"/>
        <c:txPr>
          <a:bodyPr rot="0" spcFirstLastPara="0" vertOverflow="ellipsis" vert="horz" wrap="square" anchor="ctr" anchorCtr="1"/>
          <a:lstStyle/>
          <a:p>
            <a:pPr>
              <a:defRPr lang="zh-CN" sz="900" b="1" i="0" u="none" strike="noStrike" kern="1200" baseline="0">
                <a:solidFill>
                  <a:sysClr val="windowText" lastClr="000000"/>
                </a:solidFill>
                <a:latin typeface="方正宋黑简体" panose="02010601030101010101" charset="-122"/>
                <a:ea typeface="方正宋黑简体" panose="02010601030101010101" charset="-122"/>
                <a:cs typeface="方正宋黑简体" panose="02010601030101010101" charset="-122"/>
                <a:sym typeface="方正宋黑简体" panose="02010601030101010101" charset="-122"/>
              </a:defRPr>
            </a:pPr>
          </a:p>
        </c:txPr>
      </c:legendEntry>
      <c:legendEntry>
        <c:idx val="9"/>
        <c:txPr>
          <a:bodyPr rot="0" spcFirstLastPara="0" vertOverflow="ellipsis" vert="horz" wrap="square" anchor="ctr" anchorCtr="1"/>
          <a:lstStyle/>
          <a:p>
            <a:pPr>
              <a:defRPr lang="zh-CN" sz="900" b="1" i="0" u="none" strike="noStrike" kern="1200" baseline="0">
                <a:solidFill>
                  <a:sysClr val="windowText" lastClr="000000"/>
                </a:solidFill>
                <a:latin typeface="方正宋黑简体" panose="02010601030101010101" charset="-122"/>
                <a:ea typeface="方正宋黑简体" panose="02010601030101010101" charset="-122"/>
                <a:cs typeface="方正宋黑简体" panose="02010601030101010101" charset="-122"/>
                <a:sym typeface="方正宋黑简体" panose="02010601030101010101" charset="-122"/>
              </a:defRPr>
            </a:pPr>
          </a:p>
        </c:txPr>
      </c:legendEntry>
      <c:legendEntry>
        <c:idx val="10"/>
        <c:txPr>
          <a:bodyPr rot="0" spcFirstLastPara="0" vertOverflow="ellipsis" vert="horz" wrap="square" anchor="ctr" anchorCtr="1"/>
          <a:lstStyle/>
          <a:p>
            <a:pPr>
              <a:defRPr lang="zh-CN" sz="900" b="1" i="0" u="none" strike="noStrike" kern="1200" baseline="0">
                <a:solidFill>
                  <a:sysClr val="windowText" lastClr="000000"/>
                </a:solidFill>
                <a:latin typeface="方正宋黑简体" panose="02010601030101010101" charset="-122"/>
                <a:ea typeface="方正宋黑简体" panose="02010601030101010101" charset="-122"/>
                <a:cs typeface="方正宋黑简体" panose="02010601030101010101" charset="-122"/>
                <a:sym typeface="方正宋黑简体" panose="02010601030101010101" charset="-122"/>
              </a:defRPr>
            </a:pPr>
          </a:p>
        </c:txPr>
      </c:legendEntry>
      <c:legendEntry>
        <c:idx val="11"/>
        <c:txPr>
          <a:bodyPr rot="0" spcFirstLastPara="0" vertOverflow="ellipsis" vert="horz" wrap="square" anchor="ctr" anchorCtr="1"/>
          <a:lstStyle/>
          <a:p>
            <a:pPr>
              <a:defRPr lang="zh-CN" sz="900" b="1" i="0" u="none" strike="noStrike" kern="1200" baseline="0">
                <a:solidFill>
                  <a:sysClr val="windowText" lastClr="000000"/>
                </a:solidFill>
                <a:latin typeface="方正宋黑简体" panose="02010601030101010101" charset="-122"/>
                <a:ea typeface="方正宋黑简体" panose="02010601030101010101" charset="-122"/>
                <a:cs typeface="方正宋黑简体" panose="02010601030101010101" charset="-122"/>
                <a:sym typeface="方正宋黑简体" panose="02010601030101010101" charset="-122"/>
              </a:defRPr>
            </a:pPr>
          </a:p>
        </c:txPr>
      </c:legendEntry>
      <c:legendEntry>
        <c:idx val="12"/>
        <c:txPr>
          <a:bodyPr rot="0" spcFirstLastPara="0" vertOverflow="ellipsis" vert="horz" wrap="square" anchor="ctr" anchorCtr="1"/>
          <a:lstStyle/>
          <a:p>
            <a:pPr>
              <a:defRPr lang="zh-CN" sz="900" b="1" i="0" u="none" strike="noStrike" kern="1200" baseline="0">
                <a:solidFill>
                  <a:sysClr val="windowText" lastClr="000000"/>
                </a:solidFill>
                <a:latin typeface="方正宋黑简体" panose="02010601030101010101" charset="-122"/>
                <a:ea typeface="方正宋黑简体" panose="02010601030101010101" charset="-122"/>
                <a:cs typeface="方正宋黑简体" panose="02010601030101010101" charset="-122"/>
                <a:sym typeface="方正宋黑简体" panose="02010601030101010101" charset="-122"/>
              </a:defRPr>
            </a:pPr>
          </a:p>
        </c:txPr>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ysClr val="windowText" lastClr="000000"/>
              </a:solidFill>
              <a:latin typeface="方正宋黑简体" panose="02010601030101010101" charset="-122"/>
              <a:ea typeface="方正宋黑简体" panose="02010601030101010101" charset="-122"/>
              <a:cs typeface="方正宋黑简体" panose="02010601030101010101" charset="-122"/>
              <a:sym typeface="方正宋黑简体" panose="02010601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500" b="1">
          <a:solidFill>
            <a:sysClr val="windowText" lastClr="000000"/>
          </a:solidFill>
          <a:latin typeface="方正宋黑简体" panose="02010601030101010101" charset="-122"/>
          <a:ea typeface="方正宋黑简体" panose="02010601030101010101" charset="-122"/>
          <a:cs typeface="方正宋黑简体" panose="02010601030101010101" charset="-122"/>
          <a:sym typeface="方正宋黑简体" panose="0201060103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2779</Words>
  <Characters>2903</Characters>
  <Lines>0</Lines>
  <Paragraphs>0</Paragraphs>
  <TotalTime>9</TotalTime>
  <ScaleCrop>false</ScaleCrop>
  <LinksUpToDate>false</LinksUpToDate>
  <CharactersWithSpaces>2948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2023-01-16T07:45:00Z</dcterms:created>
  <dc:creator>诗人与熊</dc:creator>
  <cp:lastModifiedBy>123456789</cp:lastModifiedBy>
  <cp:lastPrinted>2023-01-17T07:15:00Z</cp:lastPrinted>
  <dcterms:modified xsi:type="dcterms:W3CDTF">2023-02-06T08:08:21Z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2C6C191AD7EB439CBAD9C94CF23853A4</vt:lpwstr>
  </property>
</Properties>
</file>