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ind w:right="-96" w:rightChars="-50"/>
        <w:jc w:val="center"/>
        <w:rPr>
          <w:rFonts w:hint="eastAsia" w:ascii="方正小标宋简体" w:eastAsia="方正小标宋简体"/>
          <w:b/>
          <w:color w:val="000000" w:themeColor="text1"/>
          <w:sz w:val="44"/>
          <w:szCs w:val="44"/>
          <w:lang w:val="en-US" w:eastAsia="zh-CN"/>
          <w14:textFill>
            <w14:solidFill>
              <w14:schemeClr w14:val="tx1"/>
            </w14:solidFill>
          </w14:textFill>
        </w:rPr>
      </w:pPr>
    </w:p>
    <w:p>
      <w:pPr>
        <w:spacing w:line="590" w:lineRule="exact"/>
        <w:ind w:right="-96" w:rightChars="-50"/>
        <w:jc w:val="center"/>
        <w:rPr>
          <w:rFonts w:hint="eastAsia" w:ascii="方正小标宋简体" w:eastAsia="方正小标宋简体"/>
          <w:b/>
          <w:color w:val="000000" w:themeColor="text1"/>
          <w:sz w:val="44"/>
          <w:szCs w:val="44"/>
          <w:lang w:val="en-US" w:eastAsia="zh-CN"/>
          <w14:textFill>
            <w14:solidFill>
              <w14:schemeClr w14:val="tx1"/>
            </w14:solidFill>
          </w14:textFill>
        </w:rPr>
      </w:pPr>
      <w:r>
        <w:rPr>
          <w:rFonts w:hint="eastAsia" w:ascii="方正小标宋简体" w:eastAsia="方正小标宋简体"/>
          <w:b/>
          <w:color w:val="000000" w:themeColor="text1"/>
          <w:sz w:val="44"/>
          <w:szCs w:val="44"/>
          <w:lang w:val="en-US" w:eastAsia="zh-CN"/>
          <w14:textFill>
            <w14:solidFill>
              <w14:schemeClr w14:val="tx1"/>
            </w14:solidFill>
          </w14:textFill>
        </w:rPr>
        <w:t>曲阜市人民政府办公室</w:t>
      </w:r>
    </w:p>
    <w:p>
      <w:pPr>
        <w:spacing w:line="590" w:lineRule="exact"/>
        <w:ind w:right="-96" w:rightChars="-50"/>
        <w:jc w:val="center"/>
        <w:rPr>
          <w:rFonts w:hint="eastAsia" w:ascii="方正小标宋简体" w:eastAsia="方正小标宋简体"/>
          <w:b/>
          <w:color w:val="000000" w:themeColor="text1"/>
          <w:sz w:val="44"/>
          <w:szCs w:val="44"/>
          <w14:textFill>
            <w14:solidFill>
              <w14:schemeClr w14:val="tx1"/>
            </w14:solidFill>
          </w14:textFill>
        </w:rPr>
      </w:pPr>
      <w:r>
        <w:rPr>
          <w:rFonts w:hint="eastAsia" w:ascii="方正小标宋简体" w:eastAsia="方正小标宋简体"/>
          <w:b/>
          <w:color w:val="000000" w:themeColor="text1"/>
          <w:sz w:val="44"/>
          <w:szCs w:val="44"/>
          <w14:textFill>
            <w14:solidFill>
              <w14:schemeClr w14:val="tx1"/>
            </w14:solidFill>
          </w14:textFill>
        </w:rPr>
        <w:t>2021年政府信息公开工作年度</w:t>
      </w:r>
    </w:p>
    <w:p>
      <w:pPr>
        <w:spacing w:line="590" w:lineRule="exact"/>
        <w:ind w:right="-96" w:rightChars="-50"/>
        <w:jc w:val="center"/>
        <w:rPr>
          <w:rFonts w:ascii="方正小标宋简体" w:eastAsia="方正小标宋简体"/>
          <w:b/>
          <w:color w:val="000000" w:themeColor="text1"/>
          <w:sz w:val="44"/>
          <w:szCs w:val="44"/>
          <w14:textFill>
            <w14:solidFill>
              <w14:schemeClr w14:val="tx1"/>
            </w14:solidFill>
          </w14:textFill>
        </w:rPr>
      </w:pPr>
      <w:r>
        <w:rPr>
          <w:rFonts w:hint="eastAsia" w:ascii="方正小标宋简体" w:eastAsia="方正小标宋简体"/>
          <w:b/>
          <w:color w:val="000000" w:themeColor="text1"/>
          <w:sz w:val="44"/>
          <w:szCs w:val="44"/>
          <w14:textFill>
            <w14:solidFill>
              <w14:schemeClr w14:val="tx1"/>
            </w14:solidFill>
          </w14:textFill>
        </w:rPr>
        <w:t>报</w:t>
      </w:r>
      <w:r>
        <w:rPr>
          <w:rFonts w:hint="eastAsia" w:ascii="方正小标宋简体" w:eastAsia="方正小标宋简体"/>
          <w:b/>
          <w:color w:val="000000" w:themeColor="text1"/>
          <w:sz w:val="44"/>
          <w:szCs w:val="44"/>
          <w:lang w:val="en-US" w:eastAsia="zh-CN"/>
          <w14:textFill>
            <w14:solidFill>
              <w14:schemeClr w14:val="tx1"/>
            </w14:solidFill>
          </w14:textFill>
        </w:rPr>
        <w:t xml:space="preserve">  </w:t>
      </w:r>
      <w:r>
        <w:rPr>
          <w:rFonts w:hint="eastAsia" w:ascii="方正小标宋简体" w:eastAsia="方正小标宋简体"/>
          <w:b/>
          <w:color w:val="000000" w:themeColor="text1"/>
          <w:sz w:val="44"/>
          <w:szCs w:val="44"/>
          <w14:textFill>
            <w14:solidFill>
              <w14:schemeClr w14:val="tx1"/>
            </w14:solidFill>
          </w14:textFill>
        </w:rPr>
        <w:t>告</w:t>
      </w:r>
    </w:p>
    <w:p>
      <w:pPr>
        <w:spacing w:line="590" w:lineRule="exact"/>
        <w:ind w:right="-96" w:rightChars="-50" w:firstLine="624" w:firstLineChars="200"/>
        <w:rPr>
          <w:rFonts w:ascii="方正仿宋简体" w:eastAsia="方正仿宋简体"/>
          <w:b/>
          <w:color w:val="000000" w:themeColor="text1"/>
          <w:sz w:val="32"/>
          <w:szCs w:val="32"/>
          <w14:textFill>
            <w14:solidFill>
              <w14:schemeClr w14:val="tx1"/>
            </w14:solidFill>
          </w14:textFill>
        </w:rPr>
      </w:pPr>
    </w:p>
    <w:p>
      <w:pPr>
        <w:spacing w:line="590" w:lineRule="exact"/>
        <w:ind w:right="-96" w:rightChars="-50" w:firstLine="624" w:firstLineChars="200"/>
        <w:rPr>
          <w:rFonts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本报告由</w:t>
      </w:r>
      <w:r>
        <w:rPr>
          <w:rFonts w:hint="eastAsia" w:ascii="方正仿宋简体" w:eastAsia="方正仿宋简体"/>
          <w:b/>
          <w:color w:val="000000" w:themeColor="text1"/>
          <w:sz w:val="32"/>
          <w:szCs w:val="32"/>
          <w:lang w:val="en-US" w:eastAsia="zh-CN"/>
          <w14:textFill>
            <w14:solidFill>
              <w14:schemeClr w14:val="tx1"/>
            </w14:solidFill>
          </w14:textFill>
        </w:rPr>
        <w:t>曲阜市人民政府办公室</w:t>
      </w:r>
      <w:r>
        <w:rPr>
          <w:rFonts w:hint="eastAsia" w:ascii="方正仿宋简体" w:eastAsia="方正仿宋简体"/>
          <w:b/>
          <w:color w:val="000000" w:themeColor="text1"/>
          <w:sz w:val="32"/>
          <w:szCs w:val="32"/>
          <w14:textFill>
            <w14:solidFill>
              <w14:schemeClr w14:val="tx1"/>
            </w14:solidFill>
          </w14:textFill>
        </w:rPr>
        <w:t>按照《中华人民共和国政府信息公开条例》（以下简称《条例》）和《中华人民共和国政府信息公开工作年度报告格式》（国办公开办函〔2021〕30号）要求编制。</w:t>
      </w:r>
    </w:p>
    <w:p>
      <w:pPr>
        <w:spacing w:line="590" w:lineRule="exact"/>
        <w:ind w:right="-96" w:rightChars="-50" w:firstLine="624" w:firstLineChars="200"/>
        <w:rPr>
          <w:rFonts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本报告内容包括总体情况、主动公开政府信息情况、收到和处理政府信息公开申请情况、政府信息公开行政复议和行政诉讼情况、存在的主要问题及改进情况、其他需要报告的事项等六部分内容。</w:t>
      </w:r>
    </w:p>
    <w:p>
      <w:pPr>
        <w:spacing w:line="590" w:lineRule="exact"/>
        <w:ind w:right="-96" w:rightChars="-50" w:firstLine="624" w:firstLineChars="200"/>
        <w:rPr>
          <w:rFonts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本报告所列数据的统计期限自2021年1月1日起至2021年12月31日止。本报告电子版可在“中国·</w:t>
      </w:r>
      <w:r>
        <w:rPr>
          <w:rFonts w:hint="eastAsia" w:ascii="方正仿宋简体" w:eastAsia="方正仿宋简体"/>
          <w:b/>
          <w:color w:val="000000" w:themeColor="text1"/>
          <w:sz w:val="32"/>
          <w:szCs w:val="32"/>
          <w:lang w:val="en-US" w:eastAsia="zh-CN"/>
          <w14:textFill>
            <w14:solidFill>
              <w14:schemeClr w14:val="tx1"/>
            </w14:solidFill>
          </w14:textFill>
        </w:rPr>
        <w:t>曲阜</w:t>
      </w:r>
      <w:r>
        <w:rPr>
          <w:rFonts w:hint="eastAsia" w:ascii="方正仿宋简体" w:eastAsia="方正仿宋简体"/>
          <w:b/>
          <w:color w:val="000000" w:themeColor="text1"/>
          <w:sz w:val="32"/>
          <w:szCs w:val="32"/>
          <w14:textFill>
            <w14:solidFill>
              <w14:schemeClr w14:val="tx1"/>
            </w14:solidFill>
          </w14:textFill>
        </w:rPr>
        <w:t>”政府门户网站（</w:t>
      </w:r>
      <w:r>
        <w:rPr>
          <w:rFonts w:hint="eastAsia" w:ascii="方正仿宋简体" w:eastAsia="方正仿宋简体"/>
          <w:b/>
          <w:color w:val="000000" w:themeColor="text1"/>
          <w:sz w:val="32"/>
          <w:szCs w:val="32"/>
          <w:lang w:val="en-US" w:eastAsia="zh-CN"/>
          <w14:textFill>
            <w14:solidFill>
              <w14:schemeClr w14:val="tx1"/>
            </w14:solidFill>
          </w14:textFill>
        </w:rPr>
        <w:t>www.qufu.gov.vn</w:t>
      </w:r>
      <w:r>
        <w:rPr>
          <w:rFonts w:hint="eastAsia" w:ascii="方正仿宋简体" w:eastAsia="方正仿宋简体"/>
          <w:b/>
          <w:color w:val="000000" w:themeColor="text1"/>
          <w:sz w:val="32"/>
          <w:szCs w:val="32"/>
          <w14:textFill>
            <w14:solidFill>
              <w14:schemeClr w14:val="tx1"/>
            </w14:solidFill>
          </w14:textFill>
        </w:rPr>
        <w:t>）查阅或下载。如对本报告有疑问，请与</w:t>
      </w:r>
      <w:r>
        <w:rPr>
          <w:rFonts w:hint="eastAsia" w:ascii="方正仿宋简体" w:eastAsia="方正仿宋简体"/>
          <w:b/>
          <w:color w:val="000000" w:themeColor="text1"/>
          <w:sz w:val="32"/>
          <w:szCs w:val="32"/>
          <w:lang w:val="en-US" w:eastAsia="zh-CN"/>
          <w14:textFill>
            <w14:solidFill>
              <w14:schemeClr w14:val="tx1"/>
            </w14:solidFill>
          </w14:textFill>
        </w:rPr>
        <w:t>曲阜市人民政府办公室政务公开办公室</w:t>
      </w:r>
      <w:r>
        <w:rPr>
          <w:rFonts w:hint="eastAsia" w:ascii="方正仿宋简体" w:eastAsia="方正仿宋简体"/>
          <w:b/>
          <w:color w:val="000000" w:themeColor="text1"/>
          <w:sz w:val="32"/>
          <w:szCs w:val="32"/>
          <w14:textFill>
            <w14:solidFill>
              <w14:schemeClr w14:val="tx1"/>
            </w14:solidFill>
          </w14:textFill>
        </w:rPr>
        <w:t>联系（地址：</w:t>
      </w:r>
      <w:r>
        <w:rPr>
          <w:rFonts w:hint="eastAsia" w:ascii="方正仿宋简体" w:eastAsia="方正仿宋简体"/>
          <w:b/>
          <w:color w:val="000000" w:themeColor="text1"/>
          <w:sz w:val="32"/>
          <w:szCs w:val="32"/>
          <w:lang w:val="en-US" w:eastAsia="zh-CN"/>
          <w14:textFill>
            <w14:solidFill>
              <w14:schemeClr w14:val="tx1"/>
            </w14:solidFill>
          </w14:textFill>
        </w:rPr>
        <w:t>山东省曲阜市春秋路一号</w:t>
      </w:r>
      <w:r>
        <w:rPr>
          <w:rFonts w:hint="eastAsia" w:ascii="方正仿宋简体" w:eastAsia="方正仿宋简体"/>
          <w:b/>
          <w:color w:val="000000" w:themeColor="text1"/>
          <w:sz w:val="32"/>
          <w:szCs w:val="32"/>
          <w14:textFill>
            <w14:solidFill>
              <w14:schemeClr w14:val="tx1"/>
            </w14:solidFill>
          </w14:textFill>
        </w:rPr>
        <w:t>，联系电话：0537-</w:t>
      </w:r>
      <w:r>
        <w:rPr>
          <w:rFonts w:hint="eastAsia" w:ascii="方正仿宋简体" w:eastAsia="方正仿宋简体"/>
          <w:b/>
          <w:color w:val="000000" w:themeColor="text1"/>
          <w:sz w:val="32"/>
          <w:szCs w:val="32"/>
          <w:lang w:val="en-US" w:eastAsia="zh-CN"/>
          <w14:textFill>
            <w14:solidFill>
              <w14:schemeClr w14:val="tx1"/>
            </w14:solidFill>
          </w14:textFill>
        </w:rPr>
        <w:t>4498856</w:t>
      </w:r>
      <w:r>
        <w:rPr>
          <w:rFonts w:hint="eastAsia" w:ascii="方正仿宋简体" w:eastAsia="方正仿宋简体"/>
          <w:b/>
          <w:color w:val="000000" w:themeColor="text1"/>
          <w:sz w:val="32"/>
          <w:szCs w:val="32"/>
          <w14:textFill>
            <w14:solidFill>
              <w14:schemeClr w14:val="tx1"/>
            </w14:solidFill>
          </w14:textFill>
        </w:rPr>
        <w:t>）。</w:t>
      </w:r>
    </w:p>
    <w:p>
      <w:pPr>
        <w:spacing w:line="590" w:lineRule="exact"/>
        <w:ind w:right="-96" w:rightChars="-50" w:firstLine="624" w:firstLineChars="200"/>
        <w:rPr>
          <w:rFonts w:ascii="方正黑体简体" w:eastAsia="方正黑体简体"/>
          <w:b/>
          <w:color w:val="000000" w:themeColor="text1"/>
          <w:sz w:val="32"/>
          <w:szCs w:val="32"/>
          <w14:textFill>
            <w14:solidFill>
              <w14:schemeClr w14:val="tx1"/>
            </w14:solidFill>
          </w14:textFill>
        </w:rPr>
      </w:pPr>
      <w:r>
        <w:rPr>
          <w:rFonts w:hint="eastAsia" w:ascii="方正黑体简体" w:eastAsia="方正黑体简体"/>
          <w:b/>
          <w:color w:val="000000" w:themeColor="text1"/>
          <w:sz w:val="32"/>
          <w:szCs w:val="32"/>
          <w14:textFill>
            <w14:solidFill>
              <w14:schemeClr w14:val="tx1"/>
            </w14:solidFill>
          </w14:textFill>
        </w:rPr>
        <w:t>一、总体情况</w:t>
      </w:r>
    </w:p>
    <w:p>
      <w:pPr>
        <w:spacing w:line="590" w:lineRule="exact"/>
        <w:ind w:right="-96" w:rightChars="-50" w:firstLine="624" w:firstLineChars="200"/>
        <w:rPr>
          <w:rFonts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2021年，曲阜市人民政府办公室以习近平新时代中国特色社会主义思想为指导，认真贯彻落实《条例》和上级政务公开工作相关安排部署，紧紧围绕曲阜市委、市政府中心工作及群众关注关切，始终坚持“公开为常态，不公开为例外”原则，有序推进政务公开各项工作。</w:t>
      </w:r>
    </w:p>
    <w:p>
      <w:pPr>
        <w:spacing w:line="590" w:lineRule="exact"/>
        <w:ind w:right="-96" w:rightChars="-50" w:firstLine="624" w:firstLineChars="200"/>
        <w:rPr>
          <w:rFonts w:ascii="方正楷体简体" w:eastAsia="方正楷体简体"/>
          <w:b/>
          <w:color w:val="000000" w:themeColor="text1"/>
          <w:sz w:val="32"/>
          <w:szCs w:val="32"/>
          <w14:textFill>
            <w14:solidFill>
              <w14:schemeClr w14:val="tx1"/>
            </w14:solidFill>
          </w14:textFill>
        </w:rPr>
      </w:pPr>
      <w:r>
        <w:rPr>
          <w:rFonts w:hint="eastAsia" w:ascii="方正楷体简体" w:eastAsia="方正楷体简体"/>
          <w:b/>
          <w:color w:val="000000" w:themeColor="text1"/>
          <w:sz w:val="32"/>
          <w:szCs w:val="32"/>
          <w14:textFill>
            <w14:solidFill>
              <w14:schemeClr w14:val="tx1"/>
            </w14:solidFill>
          </w14:textFill>
        </w:rPr>
        <w:t>（一）主动公开情况</w:t>
      </w: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一是持续做好政策发布工作。本年度共印发“曲政发”文件8件、“曲政办发”文件6件，全部在政府门户网站“履职依据”一栏进行主动公开；全年共召开政府常务会议24次，新建“曲阜市政府常务会议”专栏集中统一公开。</w:t>
      </w:r>
    </w:p>
    <w:p>
      <w:pPr>
        <w:spacing w:line="590" w:lineRule="exact"/>
        <w:ind w:right="-96" w:rightChars="-50" w:firstLine="384" w:firstLineChars="200"/>
        <w:rPr>
          <w:rFonts w:hint="eastAsia" w:ascii="方正仿宋简体" w:eastAsia="方正仿宋简体"/>
          <w:b/>
          <w:color w:val="000000" w:themeColor="text1"/>
          <w:sz w:val="32"/>
          <w:szCs w:val="32"/>
          <w:lang w:val="en-US" w:eastAsia="zh-CN"/>
          <w14:textFill>
            <w14:solidFill>
              <w14:schemeClr w14:val="tx1"/>
            </w14:solidFill>
          </w14:textFill>
        </w:rPr>
      </w:pPr>
      <w:r>
        <w:drawing>
          <wp:anchor distT="0" distB="0" distL="114300" distR="114300" simplePos="0" relativeHeight="251659264" behindDoc="0" locked="0" layoutInCell="1" allowOverlap="1">
            <wp:simplePos x="0" y="0"/>
            <wp:positionH relativeFrom="column">
              <wp:posOffset>26035</wp:posOffset>
            </wp:positionH>
            <wp:positionV relativeFrom="paragraph">
              <wp:posOffset>208915</wp:posOffset>
            </wp:positionV>
            <wp:extent cx="5534660" cy="2786380"/>
            <wp:effectExtent l="0" t="0" r="8890" b="139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534660" cy="2786380"/>
                    </a:xfrm>
                    <a:prstGeom prst="rect">
                      <a:avLst/>
                    </a:prstGeom>
                    <a:noFill/>
                    <a:ln>
                      <a:noFill/>
                    </a:ln>
                  </pic:spPr>
                </pic:pic>
              </a:graphicData>
            </a:graphic>
          </wp:anchor>
        </w:drawing>
      </w: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二是继续加大政策解读力度。聚焦“六稳”“六保”、优化营商环境等重点工作部署安排，严格按照“谁起草、谁解读”的原则，发布政策解读目录，将政策解读与政策制定同步进行。2021年度以市政府和市政府办公室印发的政策性文件，全部配发了解读材料，并积极探索由政府主管部门和领导、专家、媒体等从不同进行解读。</w:t>
      </w: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384" w:firstLineChars="200"/>
        <w:rPr>
          <w:rFonts w:hint="eastAsia" w:ascii="方正仿宋简体" w:eastAsia="方正仿宋简体"/>
          <w:b/>
          <w:color w:val="000000" w:themeColor="text1"/>
          <w:sz w:val="32"/>
          <w:szCs w:val="32"/>
          <w:lang w:val="en-US" w:eastAsia="zh-CN"/>
          <w14:textFill>
            <w14:solidFill>
              <w14:schemeClr w14:val="tx1"/>
            </w14:solidFill>
          </w14:textFill>
        </w:rPr>
      </w:pPr>
      <w:r>
        <w:drawing>
          <wp:anchor distT="0" distB="0" distL="114300" distR="114300" simplePos="0" relativeHeight="251660288" behindDoc="0" locked="0" layoutInCell="1" allowOverlap="1">
            <wp:simplePos x="0" y="0"/>
            <wp:positionH relativeFrom="column">
              <wp:posOffset>-59055</wp:posOffset>
            </wp:positionH>
            <wp:positionV relativeFrom="paragraph">
              <wp:posOffset>120015</wp:posOffset>
            </wp:positionV>
            <wp:extent cx="5539105" cy="3383915"/>
            <wp:effectExtent l="0" t="0" r="4445" b="698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539105" cy="3383915"/>
                    </a:xfrm>
                    <a:prstGeom prst="rect">
                      <a:avLst/>
                    </a:prstGeom>
                    <a:noFill/>
                    <a:ln>
                      <a:noFill/>
                    </a:ln>
                  </pic:spPr>
                </pic:pic>
              </a:graphicData>
            </a:graphic>
          </wp:anchor>
        </w:drawing>
      </w: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default"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default"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default"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default"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三是强化政民互动工作。市政府办联合市融媒体中心依托“为民服务”栏目，聚焦群众生活关切，定期邀请各热点问题领域涉及部门负责人进行在线问政，全年共举办节目50余期，取得良好效果。同时不定期举办政府开放日活动，拉进与群众距离。</w:t>
      </w:r>
    </w:p>
    <w:p>
      <w:pPr>
        <w:spacing w:line="590" w:lineRule="exact"/>
        <w:ind w:right="-96" w:rightChars="-50" w:firstLine="624" w:firstLineChars="200"/>
        <w:rPr>
          <w:rFonts w:ascii="方正楷体简体" w:eastAsia="方正楷体简体"/>
          <w:b/>
          <w:color w:val="000000" w:themeColor="text1"/>
          <w:sz w:val="32"/>
          <w:szCs w:val="32"/>
          <w14:textFill>
            <w14:solidFill>
              <w14:schemeClr w14:val="tx1"/>
            </w14:solidFill>
          </w14:textFill>
        </w:rPr>
      </w:pPr>
      <w:r>
        <w:rPr>
          <w:rFonts w:hint="eastAsia" w:ascii="方正楷体简体" w:eastAsia="方正楷体简体"/>
          <w:b/>
          <w:color w:val="000000" w:themeColor="text1"/>
          <w:sz w:val="32"/>
          <w:szCs w:val="32"/>
          <w14:textFill>
            <w14:solidFill>
              <w14:schemeClr w14:val="tx1"/>
            </w14:solidFill>
          </w14:textFill>
        </w:rPr>
        <w:t>（二）依申请公开情况</w:t>
      </w:r>
    </w:p>
    <w:p>
      <w:pPr>
        <w:spacing w:line="590" w:lineRule="exact"/>
        <w:ind w:right="-96" w:rightChars="-50" w:firstLine="624" w:firstLineChars="200"/>
        <w:rPr>
          <w:rFonts w:hint="eastAsia" w:ascii="方正仿宋简体" w:hAnsi="宋体" w:eastAsia="方正仿宋简体" w:cs="宋体"/>
          <w:b/>
          <w:bCs/>
          <w:sz w:val="32"/>
          <w:szCs w:val="32"/>
          <w:lang w:val="en-US" w:eastAsia="zh-CN"/>
        </w:rPr>
      </w:pPr>
      <w:r>
        <w:rPr>
          <w:rFonts w:hint="eastAsia" w:ascii="方正仿宋简体" w:hAnsi="宋体" w:eastAsia="方正仿宋简体" w:cs="宋体"/>
          <w:b/>
          <w:bCs/>
          <w:sz w:val="32"/>
          <w:szCs w:val="32"/>
          <w:lang w:val="en-US" w:eastAsia="zh-CN"/>
        </w:rPr>
        <w:t>本年度曲阜市政府和曲阜市政府办公室共收到依申请公开件23件，上级信息公开协助调查件8件，全部依法依规按时答复，未收到因答复不当导致的行政复议或行政诉讼。同时不断完善政府信息公开申请接收、登记、补正、答复、归档等工作流程，规范政府信息公开答复模板。</w:t>
      </w:r>
    </w:p>
    <w:p>
      <w:pPr>
        <w:spacing w:line="590" w:lineRule="exact"/>
        <w:ind w:right="-96" w:rightChars="-50" w:firstLine="624" w:firstLineChars="200"/>
        <w:rPr>
          <w:rFonts w:hint="eastAsia" w:ascii="方正仿宋简体" w:hAnsi="宋体" w:eastAsia="方正仿宋简体" w:cs="宋体"/>
          <w:b/>
          <w:bCs/>
          <w:sz w:val="32"/>
          <w:szCs w:val="32"/>
          <w:lang w:val="en-US" w:eastAsia="zh-CN"/>
        </w:rPr>
      </w:pPr>
    </w:p>
    <w:p>
      <w:pPr>
        <w:spacing w:line="590" w:lineRule="exact"/>
        <w:ind w:right="-96" w:rightChars="-50" w:firstLine="624" w:firstLineChars="200"/>
        <w:rPr>
          <w:rFonts w:hint="eastAsia" w:ascii="方正仿宋简体" w:hAnsi="宋体" w:eastAsia="方正仿宋简体" w:cs="宋体"/>
          <w:b/>
          <w:bCs/>
          <w:sz w:val="32"/>
          <w:szCs w:val="32"/>
          <w:lang w:val="en-US" w:eastAsia="zh-CN"/>
        </w:rPr>
      </w:pPr>
    </w:p>
    <w:p>
      <w:pPr>
        <w:spacing w:line="590" w:lineRule="exact"/>
        <w:ind w:right="-96" w:rightChars="-50" w:firstLine="624" w:firstLineChars="200"/>
        <w:rPr>
          <w:rFonts w:hint="eastAsia" w:ascii="方正仿宋简体" w:hAnsi="宋体" w:eastAsia="方正仿宋简体" w:cs="宋体"/>
          <w:b/>
          <w:bCs/>
          <w:sz w:val="32"/>
          <w:szCs w:val="32"/>
          <w:lang w:val="en-US" w:eastAsia="zh-CN"/>
        </w:rPr>
      </w:pPr>
    </w:p>
    <w:p>
      <w:pPr>
        <w:spacing w:line="590" w:lineRule="exact"/>
        <w:ind w:right="-96" w:rightChars="-50" w:firstLine="624" w:firstLineChars="200"/>
        <w:rPr>
          <w:rFonts w:hint="eastAsia" w:ascii="方正仿宋简体" w:hAnsi="宋体" w:eastAsia="方正仿宋简体" w:cs="宋体"/>
          <w:b/>
          <w:bCs/>
          <w:sz w:val="32"/>
          <w:szCs w:val="32"/>
          <w:lang w:val="en-US" w:eastAsia="zh-CN"/>
        </w:rPr>
      </w:pPr>
    </w:p>
    <w:p>
      <w:pPr>
        <w:spacing w:line="590" w:lineRule="exact"/>
        <w:ind w:right="-96" w:rightChars="-50" w:firstLine="384" w:firstLineChars="200"/>
        <w:rPr>
          <w:rFonts w:hint="eastAsia" w:ascii="方正仿宋简体" w:hAnsi="宋体" w:eastAsia="方正仿宋简体" w:cs="宋体"/>
          <w:b/>
          <w:bCs/>
          <w:sz w:val="32"/>
          <w:szCs w:val="32"/>
          <w:lang w:val="en-US" w:eastAsia="zh-CN"/>
        </w:rPr>
      </w:pPr>
      <w:r>
        <w:drawing>
          <wp:anchor distT="0" distB="0" distL="114300" distR="114300" simplePos="0" relativeHeight="251663360" behindDoc="0" locked="0" layoutInCell="1" allowOverlap="1">
            <wp:simplePos x="0" y="0"/>
            <wp:positionH relativeFrom="column">
              <wp:posOffset>139700</wp:posOffset>
            </wp:positionH>
            <wp:positionV relativeFrom="paragraph">
              <wp:posOffset>21590</wp:posOffset>
            </wp:positionV>
            <wp:extent cx="5539740" cy="3261360"/>
            <wp:effectExtent l="0" t="0" r="3810" b="1524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5539740" cy="3261360"/>
                    </a:xfrm>
                    <a:prstGeom prst="rect">
                      <a:avLst/>
                    </a:prstGeom>
                    <a:noFill/>
                    <a:ln>
                      <a:noFill/>
                    </a:ln>
                  </pic:spPr>
                </pic:pic>
              </a:graphicData>
            </a:graphic>
          </wp:anchor>
        </w:drawing>
      </w:r>
    </w:p>
    <w:p>
      <w:pPr>
        <w:spacing w:line="590" w:lineRule="exact"/>
        <w:ind w:right="-96" w:rightChars="-50" w:firstLine="624" w:firstLineChars="200"/>
        <w:rPr>
          <w:rFonts w:hint="eastAsia" w:ascii="方正仿宋简体" w:hAnsi="宋体" w:eastAsia="方正仿宋简体" w:cs="宋体"/>
          <w:b/>
          <w:bCs/>
          <w:sz w:val="32"/>
          <w:szCs w:val="32"/>
          <w:lang w:val="en-US" w:eastAsia="zh-CN"/>
        </w:rPr>
      </w:pPr>
    </w:p>
    <w:p>
      <w:pPr>
        <w:spacing w:line="590" w:lineRule="exact"/>
        <w:ind w:right="-96" w:rightChars="-50" w:firstLine="624" w:firstLineChars="200"/>
        <w:rPr>
          <w:rFonts w:hint="eastAsia" w:ascii="方正仿宋简体" w:hAnsi="宋体" w:eastAsia="方正仿宋简体" w:cs="宋体"/>
          <w:b/>
          <w:bCs/>
          <w:sz w:val="32"/>
          <w:szCs w:val="32"/>
          <w:lang w:val="en-US" w:eastAsia="zh-CN"/>
        </w:rPr>
      </w:pPr>
    </w:p>
    <w:p>
      <w:pPr>
        <w:spacing w:line="590" w:lineRule="exact"/>
        <w:ind w:right="-96" w:rightChars="-50" w:firstLine="624" w:firstLineChars="200"/>
        <w:rPr>
          <w:rFonts w:hint="eastAsia" w:ascii="方正仿宋简体" w:hAnsi="宋体" w:eastAsia="方正仿宋简体" w:cs="宋体"/>
          <w:b/>
          <w:bCs/>
          <w:sz w:val="32"/>
          <w:szCs w:val="32"/>
          <w:lang w:val="en-US" w:eastAsia="zh-CN"/>
        </w:rPr>
      </w:pPr>
    </w:p>
    <w:p>
      <w:pPr>
        <w:spacing w:line="590" w:lineRule="exact"/>
        <w:ind w:right="-96" w:rightChars="-50" w:firstLine="624" w:firstLineChars="200"/>
        <w:rPr>
          <w:rFonts w:hint="eastAsia" w:ascii="方正仿宋简体" w:hAnsi="宋体" w:eastAsia="方正仿宋简体" w:cs="宋体"/>
          <w:b/>
          <w:bCs/>
          <w:sz w:val="32"/>
          <w:szCs w:val="32"/>
          <w:lang w:val="en-US" w:eastAsia="zh-CN"/>
        </w:rPr>
      </w:pPr>
    </w:p>
    <w:p>
      <w:pPr>
        <w:spacing w:line="590" w:lineRule="exact"/>
        <w:ind w:right="-96" w:rightChars="-50" w:firstLine="624" w:firstLineChars="200"/>
        <w:rPr>
          <w:rFonts w:hint="eastAsia" w:ascii="方正仿宋简体" w:hAnsi="宋体" w:eastAsia="方正仿宋简体" w:cs="宋体"/>
          <w:b/>
          <w:bCs/>
          <w:sz w:val="32"/>
          <w:szCs w:val="32"/>
          <w:lang w:val="en-US" w:eastAsia="zh-CN"/>
        </w:rPr>
      </w:pPr>
    </w:p>
    <w:p>
      <w:pPr>
        <w:spacing w:line="590" w:lineRule="exact"/>
        <w:ind w:right="-96" w:rightChars="-50" w:firstLine="624" w:firstLineChars="200"/>
        <w:rPr>
          <w:rFonts w:hint="eastAsia" w:ascii="方正仿宋简体" w:hAnsi="宋体" w:eastAsia="方正仿宋简体" w:cs="宋体"/>
          <w:b/>
          <w:bCs/>
          <w:sz w:val="32"/>
          <w:szCs w:val="32"/>
          <w:lang w:val="en-US" w:eastAsia="zh-CN"/>
        </w:rPr>
      </w:pPr>
    </w:p>
    <w:p>
      <w:pPr>
        <w:spacing w:line="590" w:lineRule="exact"/>
        <w:ind w:right="-96" w:rightChars="-50" w:firstLine="624" w:firstLineChars="200"/>
        <w:rPr>
          <w:rFonts w:hint="eastAsia" w:ascii="方正仿宋简体" w:hAnsi="宋体" w:eastAsia="方正仿宋简体" w:cs="宋体"/>
          <w:b/>
          <w:bCs/>
          <w:sz w:val="32"/>
          <w:szCs w:val="32"/>
          <w:lang w:val="en-US" w:eastAsia="zh-CN"/>
        </w:rPr>
      </w:pPr>
    </w:p>
    <w:p>
      <w:pPr>
        <w:spacing w:line="590" w:lineRule="exact"/>
        <w:ind w:right="-96" w:rightChars="-50" w:firstLine="624" w:firstLineChars="200"/>
        <w:rPr>
          <w:rFonts w:hint="eastAsia" w:ascii="方正仿宋简体" w:hAnsi="宋体" w:eastAsia="方正仿宋简体" w:cs="宋体"/>
          <w:b/>
          <w:bCs/>
          <w:sz w:val="32"/>
          <w:szCs w:val="32"/>
          <w:lang w:val="en-US" w:eastAsia="zh-CN"/>
        </w:rPr>
      </w:pPr>
    </w:p>
    <w:p>
      <w:pPr>
        <w:spacing w:line="590" w:lineRule="exact"/>
        <w:ind w:right="-96" w:rightChars="-50" w:firstLine="624" w:firstLineChars="200"/>
        <w:rPr>
          <w:rFonts w:ascii="方正楷体简体" w:eastAsia="方正楷体简体"/>
          <w:b/>
          <w:color w:val="000000" w:themeColor="text1"/>
          <w:sz w:val="32"/>
          <w:szCs w:val="32"/>
          <w14:textFill>
            <w14:solidFill>
              <w14:schemeClr w14:val="tx1"/>
            </w14:solidFill>
          </w14:textFill>
        </w:rPr>
      </w:pPr>
      <w:r>
        <w:rPr>
          <w:rFonts w:hint="eastAsia" w:ascii="方正楷体简体" w:eastAsia="方正楷体简体"/>
          <w:b/>
          <w:color w:val="000000" w:themeColor="text1"/>
          <w:sz w:val="32"/>
          <w:szCs w:val="32"/>
          <w14:textFill>
            <w14:solidFill>
              <w14:schemeClr w14:val="tx1"/>
            </w14:solidFill>
          </w14:textFill>
        </w:rPr>
        <w:t>（三）政府信息管理情况</w:t>
      </w: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重新整理全市现行有效的规范性文件19件，在“市级规范性文件管理平台”专栏统一发布；梳理全市规划计划相关内容，细分为“十四五”规划和专项规划、空间规划、区域规划等栏目，建立专栏进行归集整理和主动公开。</w:t>
      </w:r>
    </w:p>
    <w:p>
      <w:pPr>
        <w:spacing w:line="590" w:lineRule="exact"/>
        <w:ind w:right="-96" w:rightChars="-50" w:firstLine="384" w:firstLineChars="200"/>
        <w:rPr>
          <w:rFonts w:hint="eastAsia" w:ascii="方正仿宋简体" w:eastAsia="方正仿宋简体"/>
          <w:b/>
          <w:color w:val="000000" w:themeColor="text1"/>
          <w:sz w:val="32"/>
          <w:szCs w:val="32"/>
          <w:lang w:val="en-US" w:eastAsia="zh-CN"/>
          <w14:textFill>
            <w14:solidFill>
              <w14:schemeClr w14:val="tx1"/>
            </w14:solidFill>
          </w14:textFill>
        </w:rPr>
      </w:pPr>
      <w:r>
        <w:drawing>
          <wp:anchor distT="0" distB="0" distL="114300" distR="114300" simplePos="0" relativeHeight="251661312" behindDoc="0" locked="0" layoutInCell="1" allowOverlap="1">
            <wp:simplePos x="0" y="0"/>
            <wp:positionH relativeFrom="column">
              <wp:posOffset>10160</wp:posOffset>
            </wp:positionH>
            <wp:positionV relativeFrom="paragraph">
              <wp:posOffset>57785</wp:posOffset>
            </wp:positionV>
            <wp:extent cx="5542280" cy="3896360"/>
            <wp:effectExtent l="0" t="0" r="1270" b="889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542280" cy="3896360"/>
                    </a:xfrm>
                    <a:prstGeom prst="rect">
                      <a:avLst/>
                    </a:prstGeom>
                    <a:noFill/>
                    <a:ln>
                      <a:noFill/>
                    </a:ln>
                  </pic:spPr>
                </pic:pic>
              </a:graphicData>
            </a:graphic>
          </wp:anchor>
        </w:drawing>
      </w: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default"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ascii="方正楷体简体" w:eastAsia="方正楷体简体"/>
          <w:b/>
          <w:color w:val="000000" w:themeColor="text1"/>
          <w:sz w:val="32"/>
          <w:szCs w:val="32"/>
          <w14:textFill>
            <w14:solidFill>
              <w14:schemeClr w14:val="tx1"/>
            </w14:solidFill>
          </w14:textFill>
        </w:rPr>
      </w:pPr>
      <w:r>
        <w:rPr>
          <w:rFonts w:hint="eastAsia" w:ascii="方正楷体简体" w:eastAsia="方正楷体简体"/>
          <w:b/>
          <w:color w:val="000000" w:themeColor="text1"/>
          <w:sz w:val="32"/>
          <w:szCs w:val="32"/>
          <w14:textFill>
            <w14:solidFill>
              <w14:schemeClr w14:val="tx1"/>
            </w14:solidFill>
          </w14:textFill>
        </w:rPr>
        <w:t>（四）政府信息公开平台建设情况</w:t>
      </w:r>
    </w:p>
    <w:p>
      <w:pPr>
        <w:spacing w:line="590" w:lineRule="exact"/>
        <w:ind w:right="-96" w:rightChars="-50" w:firstLine="624" w:firstLineChars="200"/>
        <w:rPr>
          <w:rFonts w:hint="eastAsia" w:ascii="方正仿宋简体" w:eastAsia="方正仿宋简体"/>
          <w:b/>
          <w:strike w:val="0"/>
          <w:dstrike w:val="0"/>
          <w:color w:val="000000" w:themeColor="text1"/>
          <w:sz w:val="32"/>
          <w:szCs w:val="32"/>
          <w:lang w:val="en-US" w:eastAsia="zh-CN"/>
          <w14:textFill>
            <w14:solidFill>
              <w14:schemeClr w14:val="tx1"/>
            </w14:solidFill>
          </w14:textFill>
        </w:rPr>
      </w:pPr>
      <w:r>
        <w:rPr>
          <w:rFonts w:hint="eastAsia" w:ascii="方正仿宋简体" w:eastAsia="方正仿宋简体"/>
          <w:b/>
          <w:strike w:val="0"/>
          <w:dstrike w:val="0"/>
          <w:color w:val="000000" w:themeColor="text1"/>
          <w:sz w:val="32"/>
          <w:szCs w:val="32"/>
          <w:lang w:val="en-US" w:eastAsia="zh-CN"/>
          <w14:textFill>
            <w14:solidFill>
              <w14:schemeClr w14:val="tx1"/>
            </w14:solidFill>
          </w14:textFill>
        </w:rPr>
        <w:t>一是做好政府网站和政务新媒体监管工作。严格按照上级相关工作要求，加强日常检查和问题整改，全年排查并督促注销违规的政务新媒体账号23个，45个正常开设的政务新媒体账号均按要求进行整改并在国家平台完成备案。二是做好基层政务公开体验区建设工作，目前已完成全市12个镇街的政务公开专区建设，下一步将继续推进专区建设向社区村居延伸，打通政府信息公开最后一公里。三是落实好新闻发布会例行机制。本年度共召开新闻发布会30余次，通过加强全市重大事件、热点问题以及突发事件的新闻宣传，规范新闻发布渠道，引导正确的舆论方向。</w:t>
      </w:r>
    </w:p>
    <w:p>
      <w:pPr>
        <w:spacing w:line="590" w:lineRule="exact"/>
        <w:ind w:right="-96" w:rightChars="-50" w:firstLine="384" w:firstLineChars="200"/>
        <w:rPr>
          <w:rFonts w:hint="eastAsia" w:ascii="方正仿宋简体" w:eastAsia="方正仿宋简体"/>
          <w:b/>
          <w:strike w:val="0"/>
          <w:dstrike w:val="0"/>
          <w:color w:val="000000" w:themeColor="text1"/>
          <w:sz w:val="32"/>
          <w:szCs w:val="32"/>
          <w:lang w:val="en-US" w:eastAsia="zh-CN"/>
          <w14:textFill>
            <w14:solidFill>
              <w14:schemeClr w14:val="tx1"/>
            </w14:solidFill>
          </w14:textFill>
        </w:rPr>
      </w:pPr>
      <w:r>
        <w:drawing>
          <wp:anchor distT="0" distB="0" distL="114300" distR="114300" simplePos="0" relativeHeight="251662336" behindDoc="0" locked="0" layoutInCell="1" allowOverlap="1">
            <wp:simplePos x="0" y="0"/>
            <wp:positionH relativeFrom="column">
              <wp:posOffset>-59055</wp:posOffset>
            </wp:positionH>
            <wp:positionV relativeFrom="paragraph">
              <wp:posOffset>203835</wp:posOffset>
            </wp:positionV>
            <wp:extent cx="5535295" cy="3088005"/>
            <wp:effectExtent l="0" t="0" r="8255" b="1714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535295" cy="3088005"/>
                    </a:xfrm>
                    <a:prstGeom prst="rect">
                      <a:avLst/>
                    </a:prstGeom>
                    <a:noFill/>
                    <a:ln>
                      <a:noFill/>
                    </a:ln>
                  </pic:spPr>
                </pic:pic>
              </a:graphicData>
            </a:graphic>
          </wp:anchor>
        </w:drawing>
      </w:r>
    </w:p>
    <w:p>
      <w:pPr>
        <w:spacing w:line="590" w:lineRule="exact"/>
        <w:ind w:right="-96" w:rightChars="-50" w:firstLine="624" w:firstLineChars="200"/>
        <w:rPr>
          <w:rFonts w:hint="eastAsia" w:ascii="方正仿宋简体" w:eastAsia="方正仿宋简体"/>
          <w:b/>
          <w:strike w:val="0"/>
          <w:dstrike w:val="0"/>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strike w:val="0"/>
          <w:dstrike w:val="0"/>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strike w:val="0"/>
          <w:dstrike w:val="0"/>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strike w:val="0"/>
          <w:dstrike w:val="0"/>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strike w:val="0"/>
          <w:dstrike w:val="0"/>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strike w:val="0"/>
          <w:dstrike w:val="0"/>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hint="eastAsia" w:ascii="方正仿宋简体" w:eastAsia="方正仿宋简体"/>
          <w:b/>
          <w:strike w:val="0"/>
          <w:dstrike w:val="0"/>
          <w:color w:val="000000" w:themeColor="text1"/>
          <w:sz w:val="32"/>
          <w:szCs w:val="32"/>
          <w:lang w:val="en-US" w:eastAsia="zh-CN"/>
          <w14:textFill>
            <w14:solidFill>
              <w14:schemeClr w14:val="tx1"/>
            </w14:solidFill>
          </w14:textFill>
        </w:rPr>
      </w:pPr>
    </w:p>
    <w:p>
      <w:pPr>
        <w:spacing w:line="590" w:lineRule="exact"/>
        <w:ind w:right="-96" w:rightChars="-50"/>
        <w:rPr>
          <w:rFonts w:hint="default" w:ascii="方正仿宋简体" w:eastAsia="方正仿宋简体"/>
          <w:b/>
          <w:strike w:val="0"/>
          <w:dstrike w:val="0"/>
          <w:color w:val="000000" w:themeColor="text1"/>
          <w:sz w:val="32"/>
          <w:szCs w:val="32"/>
          <w:lang w:val="en-US" w:eastAsia="zh-CN"/>
          <w14:textFill>
            <w14:solidFill>
              <w14:schemeClr w14:val="tx1"/>
            </w14:solidFill>
          </w14:textFill>
        </w:rPr>
      </w:pPr>
    </w:p>
    <w:p>
      <w:pPr>
        <w:spacing w:line="590" w:lineRule="exact"/>
        <w:ind w:right="-96" w:rightChars="-50" w:firstLine="624" w:firstLineChars="200"/>
        <w:rPr>
          <w:rFonts w:ascii="方正楷体简体" w:eastAsia="方正楷体简体"/>
          <w:b/>
          <w:color w:val="000000" w:themeColor="text1"/>
          <w:sz w:val="32"/>
          <w:szCs w:val="32"/>
          <w14:textFill>
            <w14:solidFill>
              <w14:schemeClr w14:val="tx1"/>
            </w14:solidFill>
          </w14:textFill>
        </w:rPr>
      </w:pPr>
      <w:r>
        <w:rPr>
          <w:rFonts w:hint="eastAsia" w:ascii="方正楷体简体" w:eastAsia="方正楷体简体"/>
          <w:b/>
          <w:color w:val="000000" w:themeColor="text1"/>
          <w:sz w:val="32"/>
          <w:szCs w:val="32"/>
          <w14:textFill>
            <w14:solidFill>
              <w14:schemeClr w14:val="tx1"/>
            </w14:solidFill>
          </w14:textFill>
        </w:rPr>
        <w:t>（五）监督保障情况</w:t>
      </w:r>
    </w:p>
    <w:p>
      <w:pPr>
        <w:spacing w:line="590" w:lineRule="exact"/>
        <w:ind w:right="-96" w:rightChars="-50" w:firstLine="624" w:firstLineChars="200"/>
        <w:rPr>
          <w:rFonts w:hint="eastAsia" w:ascii="方正仿宋简体" w:eastAsia="方正仿宋简体"/>
          <w:b/>
          <w:strike w:val="0"/>
          <w:dstrike w:val="0"/>
          <w:color w:val="000000" w:themeColor="text1"/>
          <w:sz w:val="32"/>
          <w:szCs w:val="32"/>
          <w14:textFill>
            <w14:solidFill>
              <w14:schemeClr w14:val="tx1"/>
            </w14:solidFill>
          </w14:textFill>
        </w:rPr>
      </w:pPr>
      <w:r>
        <w:rPr>
          <w:rFonts w:hint="eastAsia" w:ascii="方正仿宋简体" w:eastAsia="方正仿宋简体"/>
          <w:b/>
          <w:strike w:val="0"/>
          <w:dstrike w:val="0"/>
          <w:color w:val="000000" w:themeColor="text1"/>
          <w:sz w:val="32"/>
          <w:szCs w:val="32"/>
          <w:lang w:val="en-US" w:eastAsia="zh-CN"/>
          <w14:textFill>
            <w14:solidFill>
              <w14:schemeClr w14:val="tx1"/>
            </w14:solidFill>
          </w14:textFill>
        </w:rPr>
        <w:t>一是健全组织领导。机构改革后，重新调整全市政务公开领导小组，由常务副市长任组长，同时下发通知要求各政务公开工作承担单位均需成立政务公开工作机构并配备专职人员。</w:t>
      </w:r>
    </w:p>
    <w:p>
      <w:pPr>
        <w:spacing w:line="590" w:lineRule="exact"/>
        <w:ind w:right="-96" w:rightChars="-50" w:firstLine="624" w:firstLineChars="200"/>
        <w:rPr>
          <w:rFonts w:hint="eastAsia" w:ascii="方正仿宋简体" w:eastAsia="方正仿宋简体"/>
          <w:b/>
          <w:strike w:val="0"/>
          <w:dstrike w:val="0"/>
          <w:color w:val="000000" w:themeColor="text1"/>
          <w:sz w:val="32"/>
          <w:szCs w:val="32"/>
          <w14:textFill>
            <w14:solidFill>
              <w14:schemeClr w14:val="tx1"/>
            </w14:solidFill>
          </w14:textFill>
        </w:rPr>
      </w:pPr>
      <w:r>
        <w:rPr>
          <w:rFonts w:hint="eastAsia" w:ascii="方正仿宋简体" w:eastAsia="方正仿宋简体"/>
          <w:b/>
          <w:strike w:val="0"/>
          <w:dstrike w:val="0"/>
          <w:color w:val="000000" w:themeColor="text1"/>
          <w:sz w:val="32"/>
          <w:szCs w:val="32"/>
          <w14:textFill>
            <w14:solidFill>
              <w14:schemeClr w14:val="tx1"/>
            </w14:solidFill>
          </w14:textFill>
        </w:rPr>
        <w:t>二是</w:t>
      </w:r>
      <w:r>
        <w:rPr>
          <w:rFonts w:hint="eastAsia" w:ascii="方正仿宋简体" w:eastAsia="方正仿宋简体"/>
          <w:b/>
          <w:strike w:val="0"/>
          <w:dstrike w:val="0"/>
          <w:color w:val="000000" w:themeColor="text1"/>
          <w:sz w:val="32"/>
          <w:szCs w:val="32"/>
          <w:lang w:val="en-US" w:eastAsia="zh-CN"/>
          <w14:textFill>
            <w14:solidFill>
              <w14:schemeClr w14:val="tx1"/>
            </w14:solidFill>
          </w14:textFill>
        </w:rPr>
        <w:t>强化督导考核</w:t>
      </w:r>
      <w:r>
        <w:rPr>
          <w:rFonts w:hint="eastAsia" w:ascii="方正仿宋简体" w:eastAsia="方正仿宋简体"/>
          <w:b/>
          <w:strike w:val="0"/>
          <w:dstrike w:val="0"/>
          <w:color w:val="000000" w:themeColor="text1"/>
          <w:sz w:val="32"/>
          <w:szCs w:val="32"/>
          <w14:textFill>
            <w14:solidFill>
              <w14:schemeClr w14:val="tx1"/>
            </w14:solidFill>
          </w14:textFill>
        </w:rPr>
        <w:t>。</w:t>
      </w:r>
      <w:r>
        <w:rPr>
          <w:rFonts w:hint="eastAsia" w:ascii="方正仿宋简体" w:eastAsia="方正仿宋简体"/>
          <w:b/>
          <w:strike w:val="0"/>
          <w:dstrike w:val="0"/>
          <w:color w:val="000000" w:themeColor="text1"/>
          <w:sz w:val="32"/>
          <w:szCs w:val="32"/>
          <w:lang w:val="en-US" w:eastAsia="zh-CN"/>
          <w14:textFill>
            <w14:solidFill>
              <w14:schemeClr w14:val="tx1"/>
            </w14:solidFill>
          </w14:textFill>
        </w:rPr>
        <w:t>按季度对政务公开工作进行督导检查</w:t>
      </w:r>
      <w:r>
        <w:rPr>
          <w:rFonts w:hint="eastAsia" w:ascii="方正仿宋简体" w:eastAsia="方正仿宋简体"/>
          <w:b/>
          <w:strike w:val="0"/>
          <w:dstrike w:val="0"/>
          <w:color w:val="000000" w:themeColor="text1"/>
          <w:sz w:val="32"/>
          <w:szCs w:val="32"/>
          <w14:textFill>
            <w14:solidFill>
              <w14:schemeClr w14:val="tx1"/>
            </w14:solidFill>
          </w14:textFill>
        </w:rPr>
        <w:t>，</w:t>
      </w:r>
      <w:r>
        <w:rPr>
          <w:rFonts w:hint="eastAsia" w:ascii="方正仿宋简体" w:eastAsia="方正仿宋简体"/>
          <w:b/>
          <w:strike w:val="0"/>
          <w:dstrike w:val="0"/>
          <w:color w:val="000000" w:themeColor="text1"/>
          <w:sz w:val="32"/>
          <w:szCs w:val="32"/>
          <w:lang w:val="en-US" w:eastAsia="zh-CN"/>
          <w14:textFill>
            <w14:solidFill>
              <w14:schemeClr w14:val="tx1"/>
            </w14:solidFill>
          </w14:textFill>
        </w:rPr>
        <w:t>存在问题的单位限期整改，未按期整改完成的下发通报到部门主要负责同志，同时</w:t>
      </w:r>
      <w:r>
        <w:rPr>
          <w:rFonts w:hint="eastAsia" w:ascii="方正仿宋简体" w:eastAsia="方正仿宋简体"/>
          <w:b/>
          <w:strike w:val="0"/>
          <w:dstrike w:val="0"/>
          <w:color w:val="000000" w:themeColor="text1"/>
          <w:sz w:val="32"/>
          <w:szCs w:val="32"/>
          <w14:textFill>
            <w14:solidFill>
              <w14:schemeClr w14:val="tx1"/>
            </w14:solidFill>
          </w14:textFill>
        </w:rPr>
        <w:t>将政务公开工作纳入年底考核的重点。</w:t>
      </w:r>
    </w:p>
    <w:p>
      <w:pPr>
        <w:spacing w:line="590" w:lineRule="exact"/>
        <w:ind w:right="-96" w:rightChars="-50" w:firstLine="624" w:firstLineChars="200"/>
        <w:rPr>
          <w:rFonts w:hint="eastAsia" w:ascii="方正仿宋简体" w:eastAsia="方正仿宋简体"/>
          <w:b/>
          <w:strike/>
          <w:dstrike w:val="0"/>
          <w:color w:val="000000" w:themeColor="text1"/>
          <w:sz w:val="32"/>
          <w:szCs w:val="32"/>
          <w14:textFill>
            <w14:solidFill>
              <w14:schemeClr w14:val="tx1"/>
            </w14:solidFill>
          </w14:textFill>
        </w:rPr>
      </w:pPr>
      <w:r>
        <w:rPr>
          <w:rFonts w:hint="eastAsia" w:ascii="方正仿宋简体" w:eastAsia="方正仿宋简体"/>
          <w:b/>
          <w:strike w:val="0"/>
          <w:dstrike w:val="0"/>
          <w:color w:val="000000" w:themeColor="text1"/>
          <w:sz w:val="32"/>
          <w:szCs w:val="32"/>
          <w14:textFill>
            <w14:solidFill>
              <w14:schemeClr w14:val="tx1"/>
            </w14:solidFill>
          </w14:textFill>
        </w:rPr>
        <w:t>三是</w:t>
      </w:r>
      <w:r>
        <w:rPr>
          <w:rFonts w:hint="eastAsia" w:ascii="方正仿宋简体" w:eastAsia="方正仿宋简体"/>
          <w:b/>
          <w:strike w:val="0"/>
          <w:dstrike w:val="0"/>
          <w:color w:val="000000" w:themeColor="text1"/>
          <w:sz w:val="32"/>
          <w:szCs w:val="32"/>
          <w:lang w:val="en-US" w:eastAsia="zh-CN"/>
          <w14:textFill>
            <w14:solidFill>
              <w14:schemeClr w14:val="tx1"/>
            </w14:solidFill>
          </w14:textFill>
        </w:rPr>
        <w:t>细化</w:t>
      </w:r>
      <w:r>
        <w:rPr>
          <w:rFonts w:hint="eastAsia" w:ascii="方正仿宋简体" w:eastAsia="方正仿宋简体"/>
          <w:b/>
          <w:strike w:val="0"/>
          <w:dstrike w:val="0"/>
          <w:color w:val="000000" w:themeColor="text1"/>
          <w:sz w:val="32"/>
          <w:szCs w:val="32"/>
          <w14:textFill>
            <w14:solidFill>
              <w14:schemeClr w14:val="tx1"/>
            </w14:solidFill>
          </w14:textFill>
        </w:rPr>
        <w:t>业务培训。政府办公室不断加强对政务公开工作队伍的业务指导和培训</w:t>
      </w:r>
      <w:r>
        <w:rPr>
          <w:rFonts w:hint="eastAsia" w:ascii="方正仿宋简体" w:eastAsia="方正仿宋简体"/>
          <w:b/>
          <w:strike w:val="0"/>
          <w:dstrike w:val="0"/>
          <w:color w:val="000000" w:themeColor="text1"/>
          <w:sz w:val="32"/>
          <w:szCs w:val="32"/>
          <w:lang w:val="en-US" w:eastAsia="zh-CN"/>
          <w14:textFill>
            <w14:solidFill>
              <w14:schemeClr w14:val="tx1"/>
            </w14:solidFill>
          </w14:textFill>
        </w:rPr>
        <w:t>工作</w:t>
      </w:r>
      <w:r>
        <w:rPr>
          <w:rFonts w:hint="eastAsia" w:ascii="方正仿宋简体" w:eastAsia="方正仿宋简体"/>
          <w:b/>
          <w:strike w:val="0"/>
          <w:dstrike w:val="0"/>
          <w:color w:val="000000" w:themeColor="text1"/>
          <w:sz w:val="32"/>
          <w:szCs w:val="32"/>
          <w14:textFill>
            <w14:solidFill>
              <w14:schemeClr w14:val="tx1"/>
            </w14:solidFill>
          </w14:textFill>
        </w:rPr>
        <w:t>，</w:t>
      </w:r>
      <w:r>
        <w:rPr>
          <w:rFonts w:hint="eastAsia" w:ascii="方正仿宋简体" w:eastAsia="方正仿宋简体"/>
          <w:b/>
          <w:strike w:val="0"/>
          <w:dstrike w:val="0"/>
          <w:color w:val="000000" w:themeColor="text1"/>
          <w:sz w:val="32"/>
          <w:szCs w:val="32"/>
          <w:lang w:val="en-US" w:eastAsia="zh-CN"/>
          <w14:textFill>
            <w14:solidFill>
              <w14:schemeClr w14:val="tx1"/>
            </w14:solidFill>
          </w14:textFill>
        </w:rPr>
        <w:t>针对政务公开工作分模块、分领域进行培训，全年全市共开展专项培训3次，考核培训2次，累计参训200余人次，大大增强了全市政务公开业务工作人员的业务水平</w:t>
      </w:r>
      <w:r>
        <w:rPr>
          <w:rFonts w:hint="eastAsia" w:ascii="方正仿宋简体" w:eastAsia="方正仿宋简体"/>
          <w:b/>
          <w:strike w:val="0"/>
          <w:dstrike w:val="0"/>
          <w:color w:val="000000" w:themeColor="text1"/>
          <w:sz w:val="32"/>
          <w:szCs w:val="32"/>
          <w14:textFill>
            <w14:solidFill>
              <w14:schemeClr w14:val="tx1"/>
            </w14:solidFill>
          </w14:textFill>
        </w:rPr>
        <w:t>。</w:t>
      </w:r>
    </w:p>
    <w:p>
      <w:pPr>
        <w:spacing w:line="590" w:lineRule="exact"/>
        <w:ind w:right="-96" w:rightChars="-50" w:firstLine="624" w:firstLineChars="200"/>
        <w:rPr>
          <w:rFonts w:hint="eastAsia" w:ascii="方正仿宋简体" w:eastAsia="方正仿宋简体"/>
          <w:b/>
          <w:strike/>
          <w:dstrike w:val="0"/>
          <w:color w:val="000000" w:themeColor="text1"/>
          <w:sz w:val="32"/>
          <w:szCs w:val="32"/>
          <w14:textFill>
            <w14:solidFill>
              <w14:schemeClr w14:val="tx1"/>
            </w14:solidFill>
          </w14:textFill>
        </w:rPr>
        <w:sectPr>
          <w:footerReference r:id="rId3" w:type="default"/>
          <w:footerReference r:id="rId4" w:type="even"/>
          <w:pgSz w:w="11906" w:h="16838"/>
          <w:pgMar w:top="1191" w:right="1588" w:bottom="1191" w:left="1588" w:header="851" w:footer="1559" w:gutter="0"/>
          <w:pgNumType w:fmt="numberInDash"/>
          <w:cols w:space="425" w:num="1"/>
          <w:titlePg/>
          <w:docGrid w:type="linesAndChars" w:linePitch="628" w:charSpace="-1683"/>
        </w:sectPr>
      </w:pPr>
    </w:p>
    <w:p>
      <w:pPr>
        <w:spacing w:line="590" w:lineRule="exact"/>
        <w:ind w:right="-96" w:rightChars="-50" w:firstLine="624" w:firstLineChars="200"/>
        <w:rPr>
          <w:rFonts w:hint="eastAsia" w:ascii="方正仿宋简体" w:eastAsia="方正仿宋简体"/>
          <w:b/>
          <w:color w:val="000000" w:themeColor="text1"/>
          <w:sz w:val="32"/>
          <w:szCs w:val="32"/>
          <w14:textFill>
            <w14:solidFill>
              <w14:schemeClr w14:val="tx1"/>
            </w14:solidFill>
          </w14:textFill>
        </w:rPr>
      </w:pPr>
    </w:p>
    <w:p>
      <w:pPr>
        <w:spacing w:line="590" w:lineRule="exact"/>
        <w:ind w:right="-96" w:rightChars="-50" w:firstLine="624" w:firstLineChars="200"/>
        <w:rPr>
          <w:rFonts w:ascii="方正黑体简体" w:eastAsia="方正黑体简体"/>
          <w:b/>
          <w:color w:val="000000" w:themeColor="text1"/>
          <w:sz w:val="32"/>
          <w:szCs w:val="32"/>
          <w14:textFill>
            <w14:solidFill>
              <w14:schemeClr w14:val="tx1"/>
            </w14:solidFill>
          </w14:textFill>
        </w:rPr>
      </w:pPr>
      <w:r>
        <w:rPr>
          <w:rFonts w:hint="eastAsia" w:ascii="方正黑体简体" w:eastAsia="方正黑体简体"/>
          <w:b/>
          <w:color w:val="000000" w:themeColor="text1"/>
          <w:sz w:val="32"/>
          <w:szCs w:val="32"/>
          <w14:textFill>
            <w14:solidFill>
              <w14:schemeClr w14:val="tx1"/>
            </w14:solidFill>
          </w14:textFill>
        </w:rPr>
        <w:t>二、主动公开政府信息情况</w:t>
      </w:r>
    </w:p>
    <w:tbl>
      <w:tblPr>
        <w:tblStyle w:val="4"/>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
      <w:tblGrid>
        <w:gridCol w:w="2435"/>
        <w:gridCol w:w="2133"/>
        <w:gridCol w:w="2216"/>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ascii="方正黑体简体" w:eastAsia="方正黑体简体"/>
                <w:b/>
                <w:sz w:val="24"/>
                <w:szCs w:val="24"/>
              </w:rPr>
            </w:pPr>
            <w:r>
              <w:rPr>
                <w:rFonts w:hint="eastAsia" w:ascii="方正黑体简体" w:hAnsi="宋体" w:eastAsia="方正黑体简体" w:cs="宋体"/>
                <w:b/>
                <w:sz w:val="24"/>
                <w:szCs w:val="24"/>
                <w:lang w:bidi="ar"/>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2133"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本年制发件数</w:t>
            </w:r>
          </w:p>
        </w:tc>
        <w:tc>
          <w:tcPr>
            <w:tcW w:w="2216"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本年废止件数</w:t>
            </w:r>
          </w:p>
        </w:tc>
        <w:tc>
          <w:tcPr>
            <w:tcW w:w="1989"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现行有效件数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规章</w:t>
            </w:r>
          </w:p>
        </w:tc>
        <w:tc>
          <w:tcPr>
            <w:tcW w:w="2133" w:type="dxa"/>
            <w:shd w:val="clear" w:color="auto" w:fill="FFFFFF" w:themeFill="background1"/>
            <w:tcMar>
              <w:left w:w="57" w:type="dxa"/>
              <w:right w:w="57" w:type="dxa"/>
            </w:tcMar>
            <w:vAlign w:val="center"/>
          </w:tcPr>
          <w:p>
            <w:pPr>
              <w:widowControl/>
              <w:spacing w:line="340" w:lineRule="exact"/>
              <w:jc w:val="left"/>
              <w:rPr>
                <w:rFonts w:hint="eastAsia" w:ascii="方正仿宋简体" w:eastAsia="方正仿宋简体"/>
                <w:b/>
                <w:sz w:val="24"/>
                <w:szCs w:val="24"/>
                <w:lang w:eastAsia="zh-CN"/>
              </w:rPr>
            </w:pPr>
            <w:r>
              <w:rPr>
                <w:rFonts w:hint="eastAsia" w:ascii="方正仿宋简体" w:hAnsi="宋体" w:eastAsia="方正仿宋简体" w:cs="宋体"/>
                <w:b/>
                <w:sz w:val="24"/>
                <w:szCs w:val="24"/>
                <w:lang w:val="en-US" w:eastAsia="zh-CN" w:bidi="ar"/>
              </w:rPr>
              <w:t>0</w:t>
            </w:r>
          </w:p>
        </w:tc>
        <w:tc>
          <w:tcPr>
            <w:tcW w:w="2216" w:type="dxa"/>
            <w:shd w:val="clear" w:color="auto" w:fill="FFFFFF" w:themeFill="background1"/>
            <w:tcMar>
              <w:left w:w="57" w:type="dxa"/>
              <w:right w:w="57" w:type="dxa"/>
            </w:tcMar>
            <w:vAlign w:val="center"/>
          </w:tcPr>
          <w:p>
            <w:pPr>
              <w:widowControl/>
              <w:spacing w:line="340" w:lineRule="exact"/>
              <w:jc w:val="left"/>
              <w:rPr>
                <w:rFonts w:hint="eastAsia" w:ascii="方正仿宋简体" w:eastAsia="方正仿宋简体"/>
                <w:b/>
                <w:sz w:val="24"/>
                <w:szCs w:val="24"/>
                <w:lang w:eastAsia="zh-CN"/>
              </w:rPr>
            </w:pPr>
            <w:r>
              <w:rPr>
                <w:rFonts w:hint="eastAsia" w:ascii="方正仿宋简体" w:hAnsi="宋体" w:eastAsia="方正仿宋简体" w:cs="宋体"/>
                <w:b/>
                <w:sz w:val="24"/>
                <w:szCs w:val="24"/>
                <w:lang w:val="en-US" w:eastAsia="zh-CN" w:bidi="ar"/>
              </w:rPr>
              <w:t>0</w:t>
            </w:r>
          </w:p>
        </w:tc>
        <w:tc>
          <w:tcPr>
            <w:tcW w:w="1989" w:type="dxa"/>
            <w:shd w:val="clear" w:color="auto" w:fill="FFFFFF" w:themeFill="background1"/>
            <w:tcMar>
              <w:left w:w="57" w:type="dxa"/>
              <w:right w:w="57" w:type="dxa"/>
            </w:tcMar>
            <w:vAlign w:val="center"/>
          </w:tcPr>
          <w:p>
            <w:pPr>
              <w:widowControl/>
              <w:spacing w:line="340" w:lineRule="exact"/>
              <w:jc w:val="left"/>
              <w:rPr>
                <w:rFonts w:hint="eastAsia" w:ascii="方正仿宋简体" w:eastAsia="方正仿宋简体"/>
                <w:b/>
                <w:sz w:val="24"/>
                <w:szCs w:val="24"/>
                <w:lang w:eastAsia="zh-CN"/>
              </w:rPr>
            </w:pPr>
            <w:r>
              <w:rPr>
                <w:rFonts w:hint="eastAsia" w:ascii="方正仿宋简体" w:hAnsi="Calibri" w:eastAsia="方正仿宋简体" w:cs="Calibri"/>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行政规范性文件</w:t>
            </w:r>
          </w:p>
        </w:tc>
        <w:tc>
          <w:tcPr>
            <w:tcW w:w="2133" w:type="dxa"/>
            <w:shd w:val="clear" w:color="auto" w:fill="FFFFFF" w:themeFill="background1"/>
            <w:tcMar>
              <w:left w:w="57" w:type="dxa"/>
              <w:right w:w="57" w:type="dxa"/>
            </w:tcMar>
            <w:vAlign w:val="center"/>
          </w:tcPr>
          <w:p>
            <w:pPr>
              <w:widowControl/>
              <w:spacing w:line="340" w:lineRule="exact"/>
              <w:jc w:val="left"/>
              <w:rPr>
                <w:rFonts w:hint="eastAsia" w:ascii="方正仿宋简体" w:eastAsia="方正仿宋简体"/>
                <w:b/>
                <w:sz w:val="24"/>
                <w:szCs w:val="24"/>
                <w:lang w:eastAsia="zh-CN"/>
              </w:rPr>
            </w:pPr>
            <w:r>
              <w:rPr>
                <w:rFonts w:hint="eastAsia" w:ascii="方正仿宋简体" w:hAnsi="宋体" w:eastAsia="方正仿宋简体" w:cs="宋体"/>
                <w:b/>
                <w:sz w:val="24"/>
                <w:szCs w:val="24"/>
                <w:lang w:val="en-US" w:eastAsia="zh-CN" w:bidi="ar"/>
              </w:rPr>
              <w:t>1</w:t>
            </w:r>
          </w:p>
        </w:tc>
        <w:tc>
          <w:tcPr>
            <w:tcW w:w="2216" w:type="dxa"/>
            <w:shd w:val="clear" w:color="auto" w:fill="FFFFFF" w:themeFill="background1"/>
            <w:tcMar>
              <w:left w:w="57" w:type="dxa"/>
              <w:right w:w="57" w:type="dxa"/>
            </w:tcMar>
            <w:vAlign w:val="center"/>
          </w:tcPr>
          <w:p>
            <w:pPr>
              <w:widowControl/>
              <w:spacing w:line="340" w:lineRule="exact"/>
              <w:jc w:val="left"/>
              <w:rPr>
                <w:rFonts w:hint="eastAsia" w:ascii="方正仿宋简体" w:eastAsia="方正仿宋简体"/>
                <w:b/>
                <w:sz w:val="24"/>
                <w:szCs w:val="24"/>
                <w:lang w:eastAsia="zh-CN"/>
              </w:rPr>
            </w:pPr>
            <w:r>
              <w:rPr>
                <w:rFonts w:hint="eastAsia" w:ascii="方正仿宋简体" w:hAnsi="宋体" w:eastAsia="方正仿宋简体" w:cs="宋体"/>
                <w:b/>
                <w:sz w:val="24"/>
                <w:szCs w:val="24"/>
                <w:lang w:val="en-US" w:eastAsia="zh-CN" w:bidi="ar"/>
              </w:rPr>
              <w:t>2</w:t>
            </w:r>
          </w:p>
        </w:tc>
        <w:tc>
          <w:tcPr>
            <w:tcW w:w="1989" w:type="dxa"/>
            <w:shd w:val="clear" w:color="auto" w:fill="FFFFFF" w:themeFill="background1"/>
            <w:tcMar>
              <w:left w:w="57" w:type="dxa"/>
              <w:right w:w="57" w:type="dxa"/>
            </w:tcMar>
            <w:vAlign w:val="center"/>
          </w:tcPr>
          <w:p>
            <w:pPr>
              <w:widowControl/>
              <w:spacing w:line="340" w:lineRule="exact"/>
              <w:jc w:val="left"/>
              <w:rPr>
                <w:rFonts w:hint="default" w:ascii="方正仿宋简体" w:eastAsia="方正仿宋简体"/>
                <w:b/>
                <w:sz w:val="24"/>
                <w:szCs w:val="24"/>
                <w:lang w:val="en-US" w:eastAsia="zh-CN"/>
              </w:rPr>
            </w:pPr>
            <w:r>
              <w:rPr>
                <w:rFonts w:hint="eastAsia" w:ascii="方正仿宋简体" w:hAnsi="Calibri" w:eastAsia="方正仿宋简体" w:cs="Calibri"/>
                <w:b/>
                <w:sz w:val="24"/>
                <w:szCs w:val="24"/>
                <w:lang w:val="en-US" w:eastAsia="zh-CN"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行政许可</w:t>
            </w:r>
          </w:p>
        </w:tc>
        <w:tc>
          <w:tcPr>
            <w:tcW w:w="6338" w:type="dxa"/>
            <w:gridSpan w:val="3"/>
            <w:shd w:val="clear" w:color="auto" w:fill="FFFFFF" w:themeFill="background1"/>
            <w:tcMar>
              <w:left w:w="57" w:type="dxa"/>
              <w:right w:w="57" w:type="dxa"/>
            </w:tcMar>
            <w:vAlign w:val="center"/>
          </w:tcPr>
          <w:p>
            <w:pPr>
              <w:widowControl/>
              <w:spacing w:line="340" w:lineRule="exact"/>
              <w:jc w:val="left"/>
              <w:rPr>
                <w:rFonts w:hint="eastAsia" w:ascii="方正仿宋简体" w:eastAsia="方正仿宋简体"/>
                <w:b/>
                <w:sz w:val="24"/>
                <w:szCs w:val="24"/>
                <w:lang w:eastAsia="zh-CN"/>
              </w:rPr>
            </w:pPr>
            <w:r>
              <w:rPr>
                <w:rFonts w:hint="eastAsia" w:ascii="方正仿宋简体" w:hAnsi="Calibri" w:eastAsia="方正仿宋简体" w:cs="Calibri"/>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行政处罚</w:t>
            </w:r>
          </w:p>
        </w:tc>
        <w:tc>
          <w:tcPr>
            <w:tcW w:w="6338" w:type="dxa"/>
            <w:gridSpan w:val="3"/>
            <w:shd w:val="clear" w:color="auto" w:fill="FFFFFF" w:themeFill="background1"/>
            <w:tcMar>
              <w:left w:w="57" w:type="dxa"/>
              <w:right w:w="57" w:type="dxa"/>
            </w:tcMar>
            <w:vAlign w:val="center"/>
          </w:tcPr>
          <w:p>
            <w:pPr>
              <w:widowControl/>
              <w:spacing w:line="340" w:lineRule="exact"/>
              <w:jc w:val="left"/>
              <w:rPr>
                <w:rFonts w:hint="eastAsia" w:ascii="方正仿宋简体" w:eastAsia="方正仿宋简体"/>
                <w:b/>
                <w:sz w:val="24"/>
                <w:szCs w:val="24"/>
                <w:lang w:eastAsia="zh-CN"/>
              </w:rPr>
            </w:pPr>
            <w:r>
              <w:rPr>
                <w:rFonts w:hint="eastAsia" w:ascii="方正仿宋简体" w:hAnsi="宋体" w:eastAsia="方正仿宋简体" w:cs="宋体"/>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行政强制</w:t>
            </w:r>
          </w:p>
        </w:tc>
        <w:tc>
          <w:tcPr>
            <w:tcW w:w="6338" w:type="dxa"/>
            <w:gridSpan w:val="3"/>
            <w:shd w:val="clear" w:color="auto" w:fill="FFFFFF" w:themeFill="background1"/>
            <w:tcMar>
              <w:left w:w="57" w:type="dxa"/>
              <w:right w:w="57" w:type="dxa"/>
            </w:tcMar>
            <w:vAlign w:val="center"/>
          </w:tcPr>
          <w:p>
            <w:pPr>
              <w:widowControl/>
              <w:spacing w:line="340" w:lineRule="exact"/>
              <w:jc w:val="left"/>
              <w:rPr>
                <w:rFonts w:hint="eastAsia" w:ascii="方正仿宋简体" w:eastAsia="方正仿宋简体"/>
                <w:b/>
                <w:sz w:val="24"/>
                <w:szCs w:val="24"/>
                <w:lang w:eastAsia="zh-CN"/>
              </w:rPr>
            </w:pPr>
            <w:r>
              <w:rPr>
                <w:rFonts w:hint="eastAsia" w:ascii="方正仿宋简体" w:hAnsi="宋体" w:eastAsia="方正仿宋简体" w:cs="宋体"/>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本年收费金额（单位：万元）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行政事业性收费</w:t>
            </w:r>
          </w:p>
        </w:tc>
        <w:tc>
          <w:tcPr>
            <w:tcW w:w="6338" w:type="dxa"/>
            <w:gridSpan w:val="3"/>
            <w:shd w:val="clear" w:color="auto" w:fill="FFFFFF" w:themeFill="background1"/>
            <w:tcMar>
              <w:left w:w="57" w:type="dxa"/>
              <w:right w:w="57" w:type="dxa"/>
            </w:tcMar>
            <w:vAlign w:val="center"/>
          </w:tcPr>
          <w:p>
            <w:pPr>
              <w:spacing w:line="340" w:lineRule="exact"/>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r>
    </w:tbl>
    <w:p>
      <w:pPr>
        <w:spacing w:before="62" w:beforeLines="10" w:after="62" w:afterLines="10" w:line="600" w:lineRule="exact"/>
        <w:ind w:firstLine="624" w:firstLineChars="200"/>
        <w:rPr>
          <w:rFonts w:ascii="方正黑体简体" w:eastAsia="方正黑体简体"/>
          <w:b/>
          <w:sz w:val="32"/>
          <w:szCs w:val="32"/>
        </w:rPr>
      </w:pPr>
      <w:r>
        <w:rPr>
          <w:rFonts w:hint="eastAsia" w:ascii="方正黑体简体" w:eastAsia="方正黑体简体"/>
          <w:b/>
          <w:sz w:val="32"/>
          <w:szCs w:val="32"/>
        </w:rPr>
        <w:t>三、收到和处理政府信息公开申请情况</w:t>
      </w:r>
    </w:p>
    <w:tbl>
      <w:tblPr>
        <w:tblStyle w:val="4"/>
        <w:tblW w:w="8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8"/>
        <w:gridCol w:w="942"/>
        <w:gridCol w:w="2878"/>
        <w:gridCol w:w="791"/>
        <w:gridCol w:w="599"/>
        <w:gridCol w:w="590"/>
        <w:gridCol w:w="598"/>
        <w:gridCol w:w="571"/>
        <w:gridCol w:w="559"/>
        <w:gridCol w:w="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restart"/>
            <w:tcMar>
              <w:left w:w="108" w:type="dxa"/>
              <w:right w:w="108" w:type="dxa"/>
            </w:tcMar>
            <w:vAlign w:val="center"/>
          </w:tcPr>
          <w:p>
            <w:pPr>
              <w:widowControl/>
              <w:spacing w:line="300" w:lineRule="exact"/>
              <w:jc w:val="center"/>
              <w:rPr>
                <w:rFonts w:ascii="方正黑体简体" w:eastAsia="方正黑体简体"/>
                <w:b/>
                <w:sz w:val="21"/>
                <w:szCs w:val="21"/>
              </w:rPr>
            </w:pPr>
            <w:r>
              <w:rPr>
                <w:rFonts w:hint="eastAsia" w:ascii="方正黑体简体" w:hAnsi="楷体" w:eastAsia="方正黑体简体" w:cs="楷体"/>
                <w:b/>
                <w:sz w:val="21"/>
                <w:szCs w:val="21"/>
                <w:lang w:bidi="ar"/>
              </w:rPr>
              <w:t>（本列数据的勾稽关系为：第一项加第二项之和，等于第三项加第四项之和）</w:t>
            </w:r>
          </w:p>
        </w:tc>
        <w:tc>
          <w:tcPr>
            <w:tcW w:w="4229" w:type="dxa"/>
            <w:gridSpan w:val="7"/>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tcMar>
              <w:left w:w="108" w:type="dxa"/>
              <w:right w:w="108" w:type="dxa"/>
            </w:tcMar>
            <w:vAlign w:val="center"/>
          </w:tcPr>
          <w:p>
            <w:pPr>
              <w:spacing w:line="300" w:lineRule="exact"/>
              <w:jc w:val="center"/>
              <w:rPr>
                <w:rFonts w:ascii="方正黑体简体" w:eastAsia="方正黑体简体"/>
                <w:b/>
                <w:sz w:val="21"/>
                <w:szCs w:val="21"/>
              </w:rPr>
            </w:pPr>
          </w:p>
        </w:tc>
        <w:tc>
          <w:tcPr>
            <w:tcW w:w="791" w:type="dxa"/>
            <w:vMerge w:val="restart"/>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自然人</w:t>
            </w:r>
          </w:p>
        </w:tc>
        <w:tc>
          <w:tcPr>
            <w:tcW w:w="2917" w:type="dxa"/>
            <w:gridSpan w:val="5"/>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法人或其他组织</w:t>
            </w:r>
          </w:p>
        </w:tc>
        <w:tc>
          <w:tcPr>
            <w:tcW w:w="521" w:type="dxa"/>
            <w:vMerge w:val="restart"/>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tcMar>
              <w:left w:w="108" w:type="dxa"/>
              <w:right w:w="108" w:type="dxa"/>
            </w:tcMar>
            <w:vAlign w:val="center"/>
          </w:tcPr>
          <w:p>
            <w:pPr>
              <w:spacing w:line="300" w:lineRule="exact"/>
              <w:rPr>
                <w:rFonts w:ascii="方正仿宋简体" w:eastAsia="方正仿宋简体"/>
                <w:b/>
                <w:sz w:val="21"/>
                <w:szCs w:val="21"/>
              </w:rPr>
            </w:pPr>
          </w:p>
        </w:tc>
        <w:tc>
          <w:tcPr>
            <w:tcW w:w="791" w:type="dxa"/>
            <w:vMerge w:val="continue"/>
            <w:tcMar>
              <w:left w:w="57" w:type="dxa"/>
              <w:right w:w="57" w:type="dxa"/>
            </w:tcMar>
            <w:vAlign w:val="center"/>
          </w:tcPr>
          <w:p>
            <w:pPr>
              <w:spacing w:line="300" w:lineRule="exact"/>
              <w:rPr>
                <w:rFonts w:ascii="方正仿宋简体" w:eastAsia="方正仿宋简体"/>
                <w:b/>
                <w:sz w:val="21"/>
                <w:szCs w:val="21"/>
              </w:rPr>
            </w:pPr>
          </w:p>
        </w:tc>
        <w:tc>
          <w:tcPr>
            <w:tcW w:w="599"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商业</w:t>
            </w:r>
          </w:p>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企业</w:t>
            </w:r>
          </w:p>
        </w:tc>
        <w:tc>
          <w:tcPr>
            <w:tcW w:w="590"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科研</w:t>
            </w:r>
          </w:p>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机构</w:t>
            </w:r>
          </w:p>
        </w:tc>
        <w:tc>
          <w:tcPr>
            <w:tcW w:w="598"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社会公益组织</w:t>
            </w:r>
          </w:p>
        </w:tc>
        <w:tc>
          <w:tcPr>
            <w:tcW w:w="571"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法律服务机构</w:t>
            </w:r>
          </w:p>
        </w:tc>
        <w:tc>
          <w:tcPr>
            <w:tcW w:w="559"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p>
        </w:tc>
        <w:tc>
          <w:tcPr>
            <w:tcW w:w="521" w:type="dxa"/>
            <w:vMerge w:val="continue"/>
            <w:tcMar>
              <w:left w:w="57" w:type="dxa"/>
              <w:right w:w="57" w:type="dxa"/>
            </w:tcMar>
            <w:vAlign w:val="center"/>
          </w:tcPr>
          <w:p>
            <w:pPr>
              <w:spacing w:line="300" w:lineRule="exact"/>
              <w:rPr>
                <w:rFonts w:ascii="方正仿宋简体" w:eastAsia="方正仿宋简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4588" w:type="dxa"/>
            <w:gridSpan w:val="3"/>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一、本年新收政府信息公开申请数量</w:t>
            </w:r>
          </w:p>
        </w:tc>
        <w:tc>
          <w:tcPr>
            <w:tcW w:w="791" w:type="dxa"/>
            <w:tcMar>
              <w:left w:w="57" w:type="dxa"/>
              <w:right w:w="57" w:type="dxa"/>
            </w:tcMar>
            <w:vAlign w:val="center"/>
          </w:tcPr>
          <w:p>
            <w:pPr>
              <w:widowControl/>
              <w:spacing w:line="300" w:lineRule="exact"/>
              <w:jc w:val="center"/>
              <w:rPr>
                <w:rFonts w:hint="default" w:ascii="方正仿宋简体" w:eastAsia="方正仿宋简体"/>
                <w:b/>
                <w:sz w:val="21"/>
                <w:szCs w:val="21"/>
                <w:lang w:val="en-US" w:eastAsia="zh-CN"/>
              </w:rPr>
            </w:pPr>
            <w:r>
              <w:rPr>
                <w:rFonts w:hint="eastAsia" w:ascii="方正仿宋简体" w:hAnsi="Calibri" w:eastAsia="方正仿宋简体" w:cs="Calibri"/>
                <w:b/>
                <w:sz w:val="21"/>
                <w:szCs w:val="21"/>
                <w:lang w:val="en-US" w:eastAsia="zh-CN" w:bidi="ar"/>
              </w:rPr>
              <w:t>23</w:t>
            </w:r>
          </w:p>
        </w:tc>
        <w:tc>
          <w:tcPr>
            <w:tcW w:w="599" w:type="dxa"/>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eastAsia="zh-CN" w:bidi="ar"/>
              </w:rPr>
              <w:t>0</w:t>
            </w:r>
          </w:p>
        </w:tc>
        <w:tc>
          <w:tcPr>
            <w:tcW w:w="571" w:type="dxa"/>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tcPr>
          <w:p>
            <w:pPr>
              <w:widowControl/>
              <w:spacing w:line="300" w:lineRule="exact"/>
              <w:jc w:val="center"/>
              <w:rPr>
                <w:rFonts w:hint="default" w:ascii="方正仿宋简体" w:eastAsia="方正仿宋简体"/>
                <w:b/>
                <w:sz w:val="21"/>
                <w:szCs w:val="21"/>
                <w:lang w:val="en-US" w:eastAsia="zh-CN"/>
              </w:rPr>
            </w:pPr>
            <w:r>
              <w:rPr>
                <w:rFonts w:hint="eastAsia" w:ascii="方正仿宋简体" w:hAnsi="Calibri" w:eastAsia="方正仿宋简体" w:cs="Calibri"/>
                <w:b/>
                <w:sz w:val="21"/>
                <w:szCs w:val="21"/>
                <w:lang w:val="en-US" w:eastAsia="zh-CN" w:bidi="ar"/>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4588" w:type="dxa"/>
            <w:gridSpan w:val="3"/>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二、上年结转政府信息公开申请数量</w:t>
            </w:r>
          </w:p>
        </w:tc>
        <w:tc>
          <w:tcPr>
            <w:tcW w:w="791" w:type="dxa"/>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tcPr>
          <w:p>
            <w:pPr>
              <w:widowControl/>
              <w:spacing w:line="300" w:lineRule="exact"/>
              <w:jc w:val="center"/>
              <w:rPr>
                <w:rFonts w:hint="default"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三、本年度办理结果</w:t>
            </w:r>
          </w:p>
        </w:tc>
        <w:tc>
          <w:tcPr>
            <w:tcW w:w="3820" w:type="dxa"/>
            <w:gridSpan w:val="2"/>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（一）予以公开</w:t>
            </w:r>
          </w:p>
        </w:tc>
        <w:tc>
          <w:tcPr>
            <w:tcW w:w="791" w:type="dxa"/>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hint="eastAsia" w:ascii="方正仿宋简体" w:eastAsia="方正仿宋简体"/>
                <w:b/>
                <w:sz w:val="21"/>
                <w:szCs w:val="21"/>
                <w:lang w:eastAsia="zh-CN"/>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8"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3820" w:type="dxa"/>
            <w:gridSpan w:val="2"/>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（二）部分公开</w:t>
            </w:r>
            <w:r>
              <w:rPr>
                <w:rFonts w:hint="eastAsia" w:ascii="方正仿宋简体" w:hAnsi="楷体" w:eastAsia="方正仿宋简体" w:cs="楷体"/>
                <w:b/>
                <w:sz w:val="21"/>
                <w:szCs w:val="21"/>
                <w:lang w:bidi="ar"/>
              </w:rPr>
              <w:t>（区分处理的，只计这一情形，不计其他情形）</w:t>
            </w:r>
          </w:p>
        </w:tc>
        <w:tc>
          <w:tcPr>
            <w:tcW w:w="791" w:type="dxa"/>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3</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（三）不予公开</w:t>
            </w: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1.属于国家秘密</w:t>
            </w:r>
          </w:p>
        </w:tc>
        <w:tc>
          <w:tcPr>
            <w:tcW w:w="791" w:type="dxa"/>
            <w:tcMar>
              <w:left w:w="57" w:type="dxa"/>
              <w:right w:w="57" w:type="dxa"/>
            </w:tcMa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2.其他法律行政法规禁止公开</w:t>
            </w:r>
          </w:p>
        </w:tc>
        <w:tc>
          <w:tcPr>
            <w:tcW w:w="791" w:type="dxa"/>
            <w:tcMar>
              <w:left w:w="57" w:type="dxa"/>
              <w:right w:w="57" w:type="dxa"/>
            </w:tcMa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3.危及“三安全一稳定”</w:t>
            </w:r>
          </w:p>
        </w:tc>
        <w:tc>
          <w:tcPr>
            <w:tcW w:w="791" w:type="dxa"/>
            <w:tcMar>
              <w:left w:w="57" w:type="dxa"/>
              <w:right w:w="57" w:type="dxa"/>
            </w:tcMa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4.保护第三方合法权益</w:t>
            </w:r>
          </w:p>
        </w:tc>
        <w:tc>
          <w:tcPr>
            <w:tcW w:w="791" w:type="dxa"/>
            <w:tcMar>
              <w:left w:w="57" w:type="dxa"/>
              <w:right w:w="57" w:type="dxa"/>
            </w:tcMa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5.属于三类内部事务信息</w:t>
            </w:r>
          </w:p>
        </w:tc>
        <w:tc>
          <w:tcPr>
            <w:tcW w:w="791" w:type="dxa"/>
            <w:tcMar>
              <w:left w:w="57" w:type="dxa"/>
              <w:right w:w="57" w:type="dxa"/>
            </w:tcMa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1</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6.属于四类过程性信息</w:t>
            </w:r>
          </w:p>
        </w:tc>
        <w:tc>
          <w:tcPr>
            <w:tcW w:w="791" w:type="dxa"/>
            <w:tcMar>
              <w:left w:w="57" w:type="dxa"/>
              <w:right w:w="57" w:type="dxa"/>
            </w:tcMa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7.属于行政执法案卷</w:t>
            </w:r>
          </w:p>
        </w:tc>
        <w:tc>
          <w:tcPr>
            <w:tcW w:w="791" w:type="dxa"/>
            <w:tcMar>
              <w:left w:w="57" w:type="dxa"/>
              <w:right w:w="57" w:type="dxa"/>
            </w:tcMa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8.属于行政查询事项</w:t>
            </w:r>
          </w:p>
        </w:tc>
        <w:tc>
          <w:tcPr>
            <w:tcW w:w="791" w:type="dxa"/>
            <w:tcMar>
              <w:left w:w="57" w:type="dxa"/>
              <w:right w:w="57" w:type="dxa"/>
            </w:tcMa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default" w:ascii="方正仿宋简体" w:eastAsia="方正仿宋简体"/>
                <w:b/>
                <w:sz w:val="21"/>
                <w:szCs w:val="21"/>
                <w:lang w:val="en-US"/>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（四）无法提供</w:t>
            </w: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1.本机关不掌握相关政府信息</w:t>
            </w:r>
          </w:p>
        </w:tc>
        <w:tc>
          <w:tcPr>
            <w:tcW w:w="791" w:type="dxa"/>
            <w:tcMar>
              <w:left w:w="57" w:type="dxa"/>
              <w:right w:w="57" w:type="dxa"/>
            </w:tcMar>
          </w:tcPr>
          <w:p>
            <w:pPr>
              <w:widowControl/>
              <w:spacing w:line="300" w:lineRule="exact"/>
              <w:jc w:val="center"/>
              <w:rPr>
                <w:rFonts w:hint="default" w:ascii="方正仿宋简体" w:eastAsia="方正仿宋简体"/>
                <w:b/>
                <w:sz w:val="21"/>
                <w:szCs w:val="21"/>
                <w:lang w:val="en-US" w:eastAsia="zh-CN"/>
              </w:rPr>
            </w:pPr>
            <w:r>
              <w:rPr>
                <w:rFonts w:hint="eastAsia" w:ascii="方正仿宋简体" w:hAnsi="Calibri" w:eastAsia="方正仿宋简体" w:cs="Calibri"/>
                <w:b/>
                <w:sz w:val="21"/>
                <w:szCs w:val="21"/>
                <w:lang w:val="en-US" w:eastAsia="zh-CN" w:bidi="ar"/>
              </w:rPr>
              <w:t>19</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hint="default" w:ascii="方正仿宋简体" w:eastAsia="方正仿宋简体"/>
                <w:b/>
                <w:sz w:val="21"/>
                <w:szCs w:val="21"/>
                <w:lang w:val="en-US"/>
              </w:rPr>
            </w:pPr>
            <w:r>
              <w:rPr>
                <w:rFonts w:hint="eastAsia" w:ascii="方正仿宋简体" w:eastAsia="方正仿宋简体"/>
                <w:b/>
                <w:sz w:val="21"/>
                <w:szCs w:val="21"/>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2.没有现成信息需要另行制作</w:t>
            </w:r>
          </w:p>
        </w:tc>
        <w:tc>
          <w:tcPr>
            <w:tcW w:w="791" w:type="dxa"/>
            <w:tcMar>
              <w:left w:w="57" w:type="dxa"/>
              <w:right w:w="57" w:type="dxa"/>
            </w:tcMa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3.补正后申请内容仍不明确</w:t>
            </w:r>
          </w:p>
        </w:tc>
        <w:tc>
          <w:tcPr>
            <w:tcW w:w="791" w:type="dxa"/>
            <w:tcMar>
              <w:left w:w="57" w:type="dxa"/>
              <w:right w:w="57" w:type="dxa"/>
            </w:tcMa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（五）不予处理</w:t>
            </w: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1.信访举报投诉类申请</w:t>
            </w:r>
          </w:p>
        </w:tc>
        <w:tc>
          <w:tcPr>
            <w:tcW w:w="791" w:type="dxa"/>
            <w:tcMar>
              <w:left w:w="57" w:type="dxa"/>
              <w:right w:w="57" w:type="dxa"/>
            </w:tcMa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2.重复申请</w:t>
            </w:r>
          </w:p>
        </w:tc>
        <w:tc>
          <w:tcPr>
            <w:tcW w:w="791" w:type="dxa"/>
            <w:tcMar>
              <w:left w:w="57" w:type="dxa"/>
              <w:right w:w="57" w:type="dxa"/>
            </w:tcMa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3.要求提供公开出版物</w:t>
            </w:r>
          </w:p>
        </w:tc>
        <w:tc>
          <w:tcPr>
            <w:tcW w:w="791" w:type="dxa"/>
            <w:tcMar>
              <w:left w:w="57" w:type="dxa"/>
              <w:right w:w="57" w:type="dxa"/>
            </w:tcMa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4.无正当理由大量反复申请</w:t>
            </w:r>
          </w:p>
        </w:tc>
        <w:tc>
          <w:tcPr>
            <w:tcW w:w="791" w:type="dxa"/>
            <w:tcMar>
              <w:left w:w="57" w:type="dxa"/>
              <w:right w:w="57" w:type="dxa"/>
            </w:tcMa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9"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5.要求行政机关确认或重新出具已获取信息</w:t>
            </w:r>
          </w:p>
        </w:tc>
        <w:tc>
          <w:tcPr>
            <w:tcW w:w="791" w:type="dxa"/>
            <w:tcMar>
              <w:left w:w="57" w:type="dxa"/>
              <w:right w:w="57" w:type="dxa"/>
            </w:tcMa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（六）其他处理</w:t>
            </w:r>
          </w:p>
        </w:tc>
        <w:tc>
          <w:tcPr>
            <w:tcW w:w="2878" w:type="dxa"/>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1.申请人无正当理由逾期不补正、行政机关不再处理其政府信息公开申请</w:t>
            </w:r>
          </w:p>
        </w:tc>
        <w:tc>
          <w:tcPr>
            <w:tcW w:w="791" w:type="dxa"/>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2.申请人逾期未按收费通知要求缴纳费用、行政机关不再处理其政府信息公开申请</w:t>
            </w:r>
          </w:p>
        </w:tc>
        <w:tc>
          <w:tcPr>
            <w:tcW w:w="791" w:type="dxa"/>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3.其他</w:t>
            </w:r>
          </w:p>
        </w:tc>
        <w:tc>
          <w:tcPr>
            <w:tcW w:w="791" w:type="dxa"/>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3820" w:type="dxa"/>
            <w:gridSpan w:val="2"/>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（七）总计</w:t>
            </w:r>
          </w:p>
        </w:tc>
        <w:tc>
          <w:tcPr>
            <w:tcW w:w="791" w:type="dxa"/>
            <w:tcMar>
              <w:left w:w="57" w:type="dxa"/>
              <w:right w:w="57" w:type="dxa"/>
            </w:tcMar>
            <w:vAlign w:val="center"/>
          </w:tcPr>
          <w:p>
            <w:pPr>
              <w:widowControl/>
              <w:spacing w:line="300" w:lineRule="exact"/>
              <w:jc w:val="center"/>
              <w:rPr>
                <w:rFonts w:hint="default" w:ascii="方正仿宋简体" w:eastAsia="方正仿宋简体"/>
                <w:b/>
                <w:sz w:val="21"/>
                <w:szCs w:val="21"/>
                <w:lang w:val="en-US" w:eastAsia="zh-CN"/>
              </w:rPr>
            </w:pPr>
            <w:r>
              <w:rPr>
                <w:rFonts w:hint="eastAsia" w:ascii="方正仿宋简体" w:hAnsi="Calibri" w:eastAsia="方正仿宋简体" w:cs="Calibri"/>
                <w:b/>
                <w:sz w:val="21"/>
                <w:szCs w:val="21"/>
                <w:lang w:val="en-US" w:eastAsia="zh-CN" w:bidi="ar"/>
              </w:rPr>
              <w:t>23</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hint="default" w:ascii="方正仿宋简体" w:eastAsia="方正仿宋简体"/>
                <w:b/>
                <w:sz w:val="21"/>
                <w:szCs w:val="21"/>
                <w:lang w:val="en-US"/>
              </w:rPr>
            </w:pPr>
            <w:r>
              <w:rPr>
                <w:rFonts w:hint="eastAsia" w:ascii="方正仿宋简体" w:eastAsia="方正仿宋简体"/>
                <w:b/>
                <w:sz w:val="21"/>
                <w:szCs w:val="21"/>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四、结转下年度继续办理</w:t>
            </w:r>
          </w:p>
        </w:tc>
        <w:tc>
          <w:tcPr>
            <w:tcW w:w="791" w:type="dxa"/>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21" w:type="dxa"/>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bl>
    <w:p>
      <w:pPr>
        <w:spacing w:line="590" w:lineRule="exact"/>
        <w:ind w:right="-96" w:rightChars="-50" w:firstLine="624" w:firstLineChars="200"/>
        <w:rPr>
          <w:rFonts w:ascii="方正黑体简体" w:eastAsia="方正黑体简体"/>
          <w:b/>
          <w:sz w:val="32"/>
          <w:szCs w:val="32"/>
        </w:rPr>
      </w:pPr>
      <w:r>
        <w:rPr>
          <w:rFonts w:hint="eastAsia" w:ascii="方正黑体简体" w:eastAsia="方正黑体简体"/>
          <w:b/>
          <w:sz w:val="32"/>
          <w:szCs w:val="32"/>
        </w:rPr>
        <w:t>四、政府信息公开行政复议、行政诉讼情况</w:t>
      </w:r>
    </w:p>
    <w:tbl>
      <w:tblPr>
        <w:tblStyle w:val="4"/>
        <w:tblW w:w="8810"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15"/>
        <w:gridCol w:w="621"/>
        <w:gridCol w:w="600"/>
        <w:gridCol w:w="591"/>
        <w:gridCol w:w="461"/>
        <w:gridCol w:w="649"/>
        <w:gridCol w:w="649"/>
        <w:gridCol w:w="650"/>
        <w:gridCol w:w="636"/>
        <w:gridCol w:w="426"/>
        <w:gridCol w:w="650"/>
        <w:gridCol w:w="650"/>
        <w:gridCol w:w="650"/>
        <w:gridCol w:w="555"/>
        <w:gridCol w:w="40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888"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行政复议</w:t>
            </w:r>
          </w:p>
        </w:tc>
        <w:tc>
          <w:tcPr>
            <w:tcW w:w="5922" w:type="dxa"/>
            <w:gridSpan w:val="10"/>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5"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结果维持</w:t>
            </w:r>
          </w:p>
        </w:tc>
        <w:tc>
          <w:tcPr>
            <w:tcW w:w="621"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ascii="方正黑体简体" w:hAnsi="宋体" w:eastAsia="方正黑体简体" w:cs="宋体"/>
                <w:b/>
                <w:sz w:val="21"/>
                <w:szCs w:val="21"/>
                <w:lang w:bidi="ar"/>
              </w:rPr>
            </w:pPr>
            <w:r>
              <w:rPr>
                <w:rFonts w:hint="eastAsia" w:ascii="方正黑体简体" w:hAnsi="宋体" w:eastAsia="方正黑体简体" w:cs="宋体"/>
                <w:b/>
                <w:sz w:val="21"/>
                <w:szCs w:val="21"/>
                <w:lang w:bidi="ar"/>
              </w:rPr>
              <w:t>结果</w:t>
            </w:r>
          </w:p>
          <w:p>
            <w:pPr>
              <w:widowControl/>
              <w:spacing w:line="340" w:lineRule="exact"/>
              <w:ind w:left="-38" w:leftChars="-20" w:right="-38"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纠正</w:t>
            </w:r>
          </w:p>
        </w:tc>
        <w:tc>
          <w:tcPr>
            <w:tcW w:w="600"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591"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61"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c>
          <w:tcPr>
            <w:tcW w:w="3010"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未经复议直接起诉</w:t>
            </w:r>
          </w:p>
        </w:tc>
        <w:tc>
          <w:tcPr>
            <w:tcW w:w="2912"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38" w:leftChars="-20" w:right="-38" w:rightChars="-20"/>
              <w:rPr>
                <w:rFonts w:ascii="方正黑体简体" w:eastAsia="方正黑体简体"/>
                <w:b/>
                <w:sz w:val="21"/>
                <w:szCs w:val="21"/>
              </w:rPr>
            </w:pPr>
          </w:p>
        </w:tc>
        <w:tc>
          <w:tcPr>
            <w:tcW w:w="621"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38" w:leftChars="-20" w:right="-38" w:rightChars="-20"/>
              <w:rPr>
                <w:rFonts w:ascii="方正黑体简体" w:eastAsia="方正黑体简体"/>
                <w:b/>
                <w:sz w:val="21"/>
                <w:szCs w:val="21"/>
              </w:rPr>
            </w:pPr>
          </w:p>
        </w:tc>
        <w:tc>
          <w:tcPr>
            <w:tcW w:w="600"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38" w:leftChars="-20" w:right="-38" w:rightChars="-20"/>
              <w:rPr>
                <w:rFonts w:ascii="方正黑体简体" w:eastAsia="方正黑体简体"/>
                <w:b/>
                <w:sz w:val="21"/>
                <w:szCs w:val="21"/>
              </w:rPr>
            </w:pPr>
          </w:p>
        </w:tc>
        <w:tc>
          <w:tcPr>
            <w:tcW w:w="591"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38" w:leftChars="-20" w:right="-38" w:rightChars="-20"/>
              <w:rPr>
                <w:rFonts w:ascii="方正黑体简体" w:eastAsia="方正黑体简体"/>
                <w:b/>
                <w:sz w:val="21"/>
                <w:szCs w:val="21"/>
              </w:rPr>
            </w:pPr>
          </w:p>
        </w:tc>
        <w:tc>
          <w:tcPr>
            <w:tcW w:w="461"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38" w:leftChars="-20" w:right="-38" w:rightChars="-20"/>
              <w:rPr>
                <w:rFonts w:ascii="方正黑体简体" w:eastAsia="方正黑体简体"/>
                <w:b/>
                <w:sz w:val="21"/>
                <w:szCs w:val="21"/>
              </w:rPr>
            </w:pP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维持</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63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2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维持</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55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0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72" w:hRule="atLeast"/>
          <w:jc w:val="center"/>
        </w:trPr>
        <w:tc>
          <w:tcPr>
            <w:tcW w:w="615"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62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60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59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46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636"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426"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555"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407"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38" w:leftChars="-20" w:right="-38" w:rightChars="-20"/>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r>
    </w:tbl>
    <w:p>
      <w:pPr>
        <w:spacing w:line="590" w:lineRule="exact"/>
        <w:ind w:right="-96" w:rightChars="-50" w:firstLine="624" w:firstLineChars="200"/>
        <w:rPr>
          <w:rFonts w:ascii="方正黑体简体" w:eastAsia="方正黑体简体"/>
          <w:b/>
          <w:sz w:val="32"/>
          <w:szCs w:val="32"/>
        </w:rPr>
      </w:pPr>
      <w:r>
        <w:rPr>
          <w:rFonts w:hint="eastAsia" w:ascii="方正黑体简体" w:eastAsia="方正黑体简体"/>
          <w:b/>
          <w:sz w:val="32"/>
          <w:szCs w:val="32"/>
        </w:rPr>
        <w:t>五、存在的主要问题及改进情况</w:t>
      </w:r>
    </w:p>
    <w:p>
      <w:pPr>
        <w:spacing w:line="590" w:lineRule="exact"/>
        <w:ind w:right="-96" w:rightChars="-50" w:firstLine="624" w:firstLineChars="200"/>
        <w:rPr>
          <w:rFonts w:hint="eastAsia" w:ascii="方正仿宋简体" w:eastAsia="方正仿宋简体"/>
          <w:b/>
          <w:sz w:val="32"/>
          <w:szCs w:val="32"/>
          <w:lang w:val="en-US" w:eastAsia="zh-CN"/>
        </w:rPr>
      </w:pPr>
      <w:r>
        <w:rPr>
          <w:rFonts w:hint="eastAsia" w:ascii="方正仿宋简体" w:eastAsia="方正仿宋简体"/>
          <w:b/>
          <w:sz w:val="32"/>
          <w:szCs w:val="32"/>
          <w:lang w:val="en-US" w:eastAsia="zh-CN"/>
        </w:rPr>
        <w:t>2021年，市政府办公室高度重视政府信息公开工作，在推进、指导、协调、督查全市政务公开及政府信息公开工作做了大量工作，但与上级相关要求和公众需求仍然存在一定差距。</w:t>
      </w:r>
    </w:p>
    <w:p>
      <w:pPr>
        <w:spacing w:line="590" w:lineRule="exact"/>
        <w:ind w:right="-96" w:rightChars="-50" w:firstLine="624" w:firstLineChars="200"/>
        <w:rPr>
          <w:rFonts w:hint="eastAsia" w:ascii="方正仿宋简体" w:eastAsia="方正仿宋简体"/>
          <w:b/>
          <w:sz w:val="32"/>
          <w:szCs w:val="32"/>
          <w:lang w:val="en-US" w:eastAsia="zh-CN"/>
        </w:rPr>
      </w:pPr>
      <w:r>
        <w:rPr>
          <w:rFonts w:hint="eastAsia" w:ascii="方正仿宋简体" w:eastAsia="方正仿宋简体"/>
          <w:b/>
          <w:sz w:val="32"/>
          <w:szCs w:val="32"/>
          <w:lang w:val="en-US" w:eastAsia="zh-CN"/>
        </w:rPr>
        <w:t>一是信息发布仍不规范，各单位政务公开专职人员业务能力参差不齐，操作不熟练，政府办公室工作开展难度较大；二是政策解读形式不够丰富，解读质量有待提升；三是工作创新水平</w:t>
      </w:r>
      <w:bookmarkStart w:id="0" w:name="_GoBack"/>
      <w:bookmarkEnd w:id="0"/>
      <w:r>
        <w:rPr>
          <w:rFonts w:hint="eastAsia" w:ascii="方正仿宋简体" w:eastAsia="方正仿宋简体"/>
          <w:b/>
          <w:sz w:val="32"/>
          <w:szCs w:val="32"/>
          <w:lang w:val="en-US" w:eastAsia="zh-CN"/>
        </w:rPr>
        <w:t>有待提高。</w:t>
      </w:r>
    </w:p>
    <w:p>
      <w:pPr>
        <w:spacing w:line="590" w:lineRule="exact"/>
        <w:ind w:right="-96" w:rightChars="-50" w:firstLine="624" w:firstLineChars="200"/>
        <w:rPr>
          <w:rFonts w:hint="eastAsia" w:ascii="方正仿宋简体" w:eastAsia="方正仿宋简体"/>
          <w:b/>
          <w:sz w:val="32"/>
          <w:szCs w:val="32"/>
          <w:lang w:val="en-US" w:eastAsia="zh-CN"/>
        </w:rPr>
      </w:pPr>
      <w:r>
        <w:rPr>
          <w:rFonts w:hint="eastAsia" w:ascii="方正仿宋简体" w:eastAsia="方正仿宋简体"/>
          <w:b/>
          <w:sz w:val="32"/>
          <w:szCs w:val="32"/>
          <w:lang w:val="en-US" w:eastAsia="zh-CN"/>
        </w:rPr>
        <w:t>针对上述不足，2022年，市政府办公室将深入贯彻落实《中华人民共和国政府信息公开条例》，进一步加强政府信息公开工作。</w:t>
      </w:r>
    </w:p>
    <w:p>
      <w:pPr>
        <w:spacing w:line="590" w:lineRule="exact"/>
        <w:ind w:right="-96" w:rightChars="-50" w:firstLine="624" w:firstLineChars="200"/>
        <w:rPr>
          <w:rFonts w:hint="eastAsia" w:ascii="方正仿宋简体" w:eastAsia="方正仿宋简体"/>
          <w:b/>
          <w:sz w:val="32"/>
          <w:szCs w:val="32"/>
          <w:lang w:val="en-US" w:eastAsia="zh-CN"/>
        </w:rPr>
      </w:pPr>
      <w:r>
        <w:rPr>
          <w:rFonts w:hint="eastAsia" w:ascii="方正仿宋简体" w:eastAsia="方正仿宋简体"/>
          <w:b/>
          <w:sz w:val="32"/>
          <w:szCs w:val="32"/>
          <w:lang w:val="en-US" w:eastAsia="zh-CN"/>
        </w:rPr>
        <w:t>一是进一步完善政务公开工作培训机制，不定期组织业务人员培训会，由政府办公室牵头梳理政务公开后台操作手册，供各单位业务人员学习，提升操作规范性。</w:t>
      </w:r>
    </w:p>
    <w:p>
      <w:pPr>
        <w:spacing w:line="590" w:lineRule="exact"/>
        <w:ind w:right="-96" w:rightChars="-50" w:firstLine="624" w:firstLineChars="200"/>
        <w:rPr>
          <w:rFonts w:hint="eastAsia" w:ascii="方正仿宋简体" w:eastAsia="方正仿宋简体"/>
          <w:b/>
          <w:sz w:val="32"/>
          <w:szCs w:val="32"/>
          <w:lang w:val="en-US" w:eastAsia="zh-CN"/>
        </w:rPr>
      </w:pPr>
      <w:r>
        <w:rPr>
          <w:rFonts w:hint="eastAsia" w:ascii="方正仿宋简体" w:eastAsia="方正仿宋简体"/>
          <w:b/>
          <w:sz w:val="32"/>
          <w:szCs w:val="32"/>
          <w:lang w:val="en-US" w:eastAsia="zh-CN"/>
        </w:rPr>
        <w:t>二是加强政策发布解读力度。探索运用</w:t>
      </w:r>
      <w:r>
        <w:rPr>
          <w:rFonts w:hint="default" w:ascii="方正仿宋简体" w:eastAsia="方正仿宋简体"/>
          <w:b/>
          <w:sz w:val="32"/>
          <w:szCs w:val="32"/>
          <w:lang w:val="en-US" w:eastAsia="zh-CN"/>
        </w:rPr>
        <w:t>H5</w:t>
      </w:r>
      <w:r>
        <w:rPr>
          <w:rFonts w:hint="eastAsia" w:ascii="方正仿宋简体" w:eastAsia="方正仿宋简体"/>
          <w:b/>
          <w:sz w:val="32"/>
          <w:szCs w:val="32"/>
          <w:lang w:val="en-US" w:eastAsia="zh-CN"/>
        </w:rPr>
        <w:t>、可视化图表、短视频等新技术手段，创新开展生动、活泼、通俗易懂的政策解读，不断提升解读质量和水平。</w:t>
      </w:r>
    </w:p>
    <w:p>
      <w:pPr>
        <w:spacing w:line="590" w:lineRule="exact"/>
        <w:ind w:right="-96" w:rightChars="-50" w:firstLine="624" w:firstLineChars="200"/>
        <w:rPr>
          <w:rFonts w:hint="eastAsia" w:ascii="方正仿宋简体" w:eastAsia="方正仿宋简体"/>
          <w:b/>
          <w:sz w:val="32"/>
          <w:szCs w:val="32"/>
          <w:lang w:val="en-US" w:eastAsia="zh-CN"/>
        </w:rPr>
      </w:pPr>
      <w:r>
        <w:rPr>
          <w:rFonts w:hint="eastAsia" w:ascii="方正仿宋简体" w:eastAsia="方正仿宋简体"/>
          <w:b/>
          <w:sz w:val="32"/>
          <w:szCs w:val="32"/>
          <w:lang w:val="en-US" w:eastAsia="zh-CN"/>
        </w:rPr>
        <w:t>三是加强政府信息公开日常监管机制。研究制定绩效评价指标体系，进一步做好日常检测和抽查，提升全市政府信息公开工作效率和质量。</w:t>
      </w:r>
    </w:p>
    <w:p>
      <w:pPr>
        <w:spacing w:line="590" w:lineRule="exact"/>
        <w:ind w:right="-96" w:rightChars="-50" w:firstLine="624" w:firstLineChars="200"/>
        <w:rPr>
          <w:rFonts w:ascii="方正仿宋简体" w:eastAsia="方正仿宋简体"/>
          <w:b/>
          <w:strike/>
          <w:dstrike w:val="0"/>
          <w:sz w:val="32"/>
          <w:szCs w:val="32"/>
        </w:rPr>
      </w:pPr>
      <w:r>
        <w:rPr>
          <w:rFonts w:hint="eastAsia" w:ascii="方正黑体简体" w:eastAsia="方正黑体简体"/>
          <w:b/>
          <w:sz w:val="32"/>
          <w:szCs w:val="32"/>
        </w:rPr>
        <w:t>六、其他需要报告的事项</w:t>
      </w:r>
    </w:p>
    <w:p>
      <w:pPr>
        <w:spacing w:line="590" w:lineRule="exact"/>
        <w:ind w:right="-96" w:rightChars="-50" w:firstLine="624" w:firstLineChars="200"/>
        <w:rPr>
          <w:rFonts w:ascii="方正仿宋简体" w:eastAsia="方正仿宋简体"/>
          <w:b/>
          <w:sz w:val="32"/>
          <w:szCs w:val="32"/>
        </w:rPr>
      </w:pPr>
      <w:r>
        <w:rPr>
          <w:rFonts w:hint="eastAsia" w:ascii="方正仿宋简体" w:eastAsia="方正仿宋简体"/>
          <w:b/>
          <w:sz w:val="32"/>
          <w:szCs w:val="32"/>
        </w:rPr>
        <w:t>（一）</w:t>
      </w:r>
      <w:r>
        <w:rPr>
          <w:rFonts w:hint="eastAsia" w:ascii="方正仿宋简体" w:hAnsi="宋体" w:eastAsia="方正仿宋简体" w:cs="宋体"/>
          <w:b/>
          <w:bCs/>
          <w:sz w:val="32"/>
          <w:szCs w:val="32"/>
          <w:lang w:val="en-US" w:eastAsia="zh-CN"/>
        </w:rPr>
        <w:t>根据财政部、国家发展改革委联合印发的《关于清理规范一批行政事业性收费有关政策的通知》规定，本年度依申请公开政府信息未收取任何费用，包括：检索费、复制费（含案卷材料复制费）、邮寄费。</w:t>
      </w:r>
    </w:p>
    <w:p>
      <w:pPr>
        <w:spacing w:line="590" w:lineRule="exact"/>
        <w:ind w:right="-96" w:rightChars="-50" w:firstLine="624" w:firstLineChars="200"/>
        <w:rPr>
          <w:rFonts w:hint="default" w:ascii="方正仿宋简体" w:eastAsia="方正仿宋简体"/>
          <w:b/>
          <w:sz w:val="32"/>
          <w:szCs w:val="32"/>
          <w:lang w:val="en-US" w:eastAsia="zh-CN"/>
        </w:rPr>
      </w:pPr>
      <w:r>
        <w:rPr>
          <w:rFonts w:hint="eastAsia" w:ascii="方正仿宋简体" w:eastAsia="方正仿宋简体"/>
          <w:b/>
          <w:sz w:val="32"/>
          <w:szCs w:val="32"/>
        </w:rPr>
        <w:t>（二）</w:t>
      </w:r>
      <w:r>
        <w:rPr>
          <w:rFonts w:hint="eastAsia" w:ascii="方正仿宋简体" w:eastAsia="方正仿宋简体"/>
          <w:b/>
          <w:sz w:val="32"/>
          <w:szCs w:val="32"/>
          <w:lang w:val="en-US" w:eastAsia="zh-CN"/>
        </w:rPr>
        <w:t>市政务公开办公室严格贯彻落实国家、省、市关于2021年政务公开工作要点相关文件要求，一是着力深化重点领域信息公开，整理并主动公开本地区规划类信息50余条、财政资金类信息300余条、行政执法类信息230余条、保民生保安全类信息320余条，开设疫情防控专栏、公共企事业单位信息公开专栏集中公开相关信息。二是大力强化政策发布解读机制，政策性文件解读严格落实“三同步”制度，积极探索多样化解读方式，同时通过新闻发布会、网络问政等方式积极回应社会关切，通过政府开放日活动拉进群众距离。三是全面提升基层政务公开标准化规范化水平，重新梳理现行有效的规范性文件并集中统一发布，进一步健全完善依申请公开登记、审核、办理、答复、归档等工作制度，积极探索对东基层政务公开标准化规范化向农村和社区延伸。四是进一步健全政务公开工作保障机制，通过完善组织机构明确责任分工、健全政务公开工作协调机制、加强培训考核机制等措施促进政务公开工作更上新台阶。</w:t>
      </w:r>
    </w:p>
    <w:p>
      <w:pPr>
        <w:spacing w:line="590" w:lineRule="exact"/>
        <w:ind w:right="-96" w:rightChars="-50" w:firstLine="624" w:firstLineChars="200"/>
        <w:rPr>
          <w:rFonts w:hint="eastAsia" w:ascii="方正仿宋简体" w:eastAsia="方正仿宋简体"/>
          <w:b/>
          <w:sz w:val="32"/>
          <w:szCs w:val="32"/>
          <w:lang w:eastAsia="zh-CN"/>
        </w:rPr>
      </w:pPr>
      <w:r>
        <w:rPr>
          <w:rFonts w:hint="eastAsia" w:ascii="方正仿宋简体" w:eastAsia="方正仿宋简体"/>
          <w:b/>
          <w:sz w:val="32"/>
          <w:szCs w:val="32"/>
        </w:rPr>
        <w:t>（三）</w:t>
      </w:r>
      <w:r>
        <w:rPr>
          <w:rFonts w:hint="eastAsia" w:ascii="方正仿宋简体" w:eastAsia="方正仿宋简体"/>
          <w:b/>
          <w:sz w:val="32"/>
          <w:szCs w:val="32"/>
          <w:lang w:val="en-US" w:eastAsia="zh-CN"/>
        </w:rPr>
        <w:t>市政府办公室2021年度未收到</w:t>
      </w:r>
      <w:r>
        <w:rPr>
          <w:rFonts w:hint="eastAsia" w:ascii="方正仿宋简体" w:eastAsia="方正仿宋简体"/>
          <w:b/>
          <w:sz w:val="32"/>
          <w:szCs w:val="32"/>
        </w:rPr>
        <w:t>人大代表建议和政协提案</w:t>
      </w:r>
      <w:r>
        <w:rPr>
          <w:rFonts w:hint="eastAsia" w:ascii="方正仿宋简体" w:eastAsia="方正仿宋简体"/>
          <w:b/>
          <w:sz w:val="32"/>
          <w:szCs w:val="32"/>
          <w:lang w:eastAsia="zh-CN"/>
        </w:rPr>
        <w:t>。</w:t>
      </w:r>
    </w:p>
    <w:p>
      <w:pPr>
        <w:spacing w:line="590" w:lineRule="exact"/>
        <w:ind w:right="-96" w:rightChars="-50" w:firstLine="624" w:firstLineChars="200"/>
        <w:rPr>
          <w:rFonts w:hint="eastAsia" w:ascii="方正仿宋简体" w:eastAsia="方正仿宋简体"/>
          <w:b/>
          <w:sz w:val="32"/>
          <w:szCs w:val="32"/>
          <w:lang w:val="en-US" w:eastAsia="zh-CN"/>
        </w:rPr>
      </w:pPr>
      <w:r>
        <w:rPr>
          <w:rFonts w:hint="eastAsia" w:ascii="方正仿宋简体" w:eastAsia="方正仿宋简体"/>
          <w:b/>
          <w:sz w:val="32"/>
          <w:szCs w:val="32"/>
        </w:rPr>
        <w:t>（四）本行政机关年度政务公开工作创新情况</w:t>
      </w:r>
      <w:r>
        <w:rPr>
          <w:rFonts w:hint="eastAsia" w:ascii="方正仿宋简体" w:eastAsia="方正仿宋简体"/>
          <w:b/>
          <w:sz w:val="32"/>
          <w:szCs w:val="32"/>
          <w:lang w:eastAsia="zh-CN"/>
        </w:rPr>
        <w:t>：</w:t>
      </w:r>
      <w:r>
        <w:rPr>
          <w:rFonts w:hint="eastAsia" w:ascii="方正仿宋简体" w:eastAsia="方正仿宋简体"/>
          <w:b/>
          <w:sz w:val="32"/>
          <w:szCs w:val="32"/>
          <w:lang w:val="en-US" w:eastAsia="zh-CN"/>
        </w:rPr>
        <w:t>无。</w:t>
      </w:r>
    </w:p>
    <w:p>
      <w:pPr>
        <w:spacing w:line="590" w:lineRule="exact"/>
        <w:ind w:right="-96" w:rightChars="-50" w:firstLine="624" w:firstLineChars="200"/>
        <w:rPr>
          <w:rFonts w:hint="eastAsia" w:ascii="方正仿宋简体" w:eastAsia="方正仿宋简体"/>
          <w:b/>
          <w:sz w:val="32"/>
          <w:szCs w:val="32"/>
          <w:lang w:val="en-US" w:eastAsia="zh-CN"/>
        </w:rPr>
      </w:pPr>
      <w:r>
        <w:rPr>
          <w:rFonts w:hint="eastAsia" w:ascii="方正仿宋简体" w:eastAsia="方正仿宋简体"/>
          <w:b/>
          <w:sz w:val="32"/>
          <w:szCs w:val="32"/>
        </w:rPr>
        <w:t>（五）本行政机关政府信息公开工作年度报告数据统计需要说明的事项</w:t>
      </w:r>
      <w:r>
        <w:rPr>
          <w:rFonts w:hint="eastAsia" w:ascii="方正仿宋简体" w:eastAsia="方正仿宋简体"/>
          <w:b/>
          <w:sz w:val="32"/>
          <w:szCs w:val="32"/>
          <w:lang w:eastAsia="zh-CN"/>
        </w:rPr>
        <w:t>：</w:t>
      </w:r>
      <w:r>
        <w:rPr>
          <w:rFonts w:hint="eastAsia" w:ascii="方正仿宋简体" w:eastAsia="方正仿宋简体"/>
          <w:b/>
          <w:sz w:val="32"/>
          <w:szCs w:val="32"/>
          <w:lang w:val="en-US" w:eastAsia="zh-CN"/>
        </w:rPr>
        <w:t>无。</w:t>
      </w:r>
    </w:p>
    <w:p>
      <w:pPr>
        <w:spacing w:line="590" w:lineRule="exact"/>
        <w:ind w:right="-96" w:rightChars="-50" w:firstLine="624" w:firstLineChars="200"/>
        <w:rPr>
          <w:rFonts w:hint="eastAsia" w:ascii="方正仿宋简体" w:eastAsia="方正仿宋简体"/>
          <w:b/>
          <w:sz w:val="32"/>
          <w:szCs w:val="32"/>
          <w:lang w:val="en-US" w:eastAsia="zh-CN"/>
        </w:rPr>
      </w:pPr>
      <w:r>
        <w:rPr>
          <w:rFonts w:hint="eastAsia" w:ascii="方正仿宋简体" w:eastAsia="方正仿宋简体"/>
          <w:b/>
          <w:sz w:val="32"/>
          <w:szCs w:val="32"/>
        </w:rPr>
        <w:t>（六）本行政机关认为需要报告的其他事项</w:t>
      </w:r>
      <w:r>
        <w:rPr>
          <w:rFonts w:hint="eastAsia" w:ascii="方正仿宋简体" w:eastAsia="方正仿宋简体"/>
          <w:b/>
          <w:sz w:val="32"/>
          <w:szCs w:val="32"/>
          <w:lang w:eastAsia="zh-CN"/>
        </w:rPr>
        <w:t>：</w:t>
      </w:r>
      <w:r>
        <w:rPr>
          <w:rFonts w:hint="eastAsia" w:ascii="方正仿宋简体" w:eastAsia="方正仿宋简体"/>
          <w:b/>
          <w:sz w:val="32"/>
          <w:szCs w:val="32"/>
          <w:lang w:val="en-US" w:eastAsia="zh-CN"/>
        </w:rPr>
        <w:t>无。</w:t>
      </w:r>
    </w:p>
    <w:p>
      <w:pPr>
        <w:spacing w:line="590" w:lineRule="exact"/>
        <w:ind w:right="-96" w:rightChars="-50" w:firstLine="624" w:firstLineChars="200"/>
      </w:pPr>
      <w:r>
        <w:rPr>
          <w:rFonts w:hint="eastAsia" w:ascii="方正仿宋简体" w:eastAsia="方正仿宋简体"/>
          <w:b/>
          <w:sz w:val="32"/>
          <w:szCs w:val="32"/>
        </w:rPr>
        <w:t>（七）其他有关文件专门要求通过政府信息公开工作年度报告予以报告的事项</w:t>
      </w:r>
      <w:r>
        <w:rPr>
          <w:rFonts w:hint="eastAsia" w:ascii="方正仿宋简体" w:eastAsia="方正仿宋简体"/>
          <w:b/>
          <w:sz w:val="32"/>
          <w:szCs w:val="32"/>
          <w:lang w:eastAsia="zh-CN"/>
        </w:rPr>
        <w:t>：</w:t>
      </w:r>
      <w:r>
        <w:rPr>
          <w:rFonts w:hint="eastAsia" w:ascii="方正仿宋简体" w:eastAsia="方正仿宋简体"/>
          <w:b/>
          <w:sz w:val="32"/>
          <w:szCs w:val="32"/>
          <w:lang w:val="en-US" w:eastAsia="zh-CN"/>
        </w:rPr>
        <w:t>无。</w:t>
      </w:r>
    </w:p>
    <w:sectPr>
      <w:pgSz w:w="11906" w:h="16838"/>
      <w:pgMar w:top="1191" w:right="1588" w:bottom="1191" w:left="1588" w:header="851" w:footer="1559" w:gutter="0"/>
      <w:pgNumType w:fmt="numberInDash"/>
      <w:cols w:space="425" w:num="1"/>
      <w:titlePg/>
      <w:docGrid w:type="linesAndChars" w:linePitch="628"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2052647"/>
    </w:sdtPr>
    <w:sdtContent>
      <w:p>
        <w:pPr>
          <w:pStyle w:val="2"/>
          <w:wordWrap w:val="0"/>
          <w:jc w:val="right"/>
        </w:pPr>
        <w:r>
          <w:rPr>
            <w:rFonts w:asciiTheme="minorEastAsia" w:hAnsiTheme="minorEastAsia"/>
            <w:b/>
            <w:sz w:val="28"/>
            <w:szCs w:val="28"/>
          </w:rPr>
          <w:fldChar w:fldCharType="begin"/>
        </w:r>
        <w:r>
          <w:rPr>
            <w:rFonts w:asciiTheme="minorEastAsia" w:hAnsiTheme="minorEastAsia"/>
            <w:b/>
            <w:sz w:val="28"/>
            <w:szCs w:val="28"/>
          </w:rPr>
          <w:instrText xml:space="preserve">PAGE   \* MERGEFORMAT</w:instrText>
        </w:r>
        <w:r>
          <w:rPr>
            <w:rFonts w:asciiTheme="minorEastAsia" w:hAnsiTheme="minorEastAsia"/>
            <w:b/>
            <w:sz w:val="28"/>
            <w:szCs w:val="28"/>
          </w:rPr>
          <w:fldChar w:fldCharType="separate"/>
        </w:r>
        <w:r>
          <w:rPr>
            <w:rFonts w:asciiTheme="minorEastAsia" w:hAnsiTheme="minorEastAsia"/>
            <w:b/>
            <w:sz w:val="28"/>
            <w:szCs w:val="28"/>
            <w:lang w:val="zh-CN"/>
          </w:rPr>
          <w:t>-</w:t>
        </w:r>
        <w:r>
          <w:rPr>
            <w:rFonts w:asciiTheme="minorEastAsia" w:hAnsiTheme="minorEastAsia"/>
            <w:b/>
            <w:sz w:val="28"/>
            <w:szCs w:val="28"/>
          </w:rPr>
          <w:t xml:space="preserve"> 21 -</w:t>
        </w:r>
        <w:r>
          <w:rPr>
            <w:rFonts w:asciiTheme="minorEastAsia" w:hAnsiTheme="minorEastAsia"/>
            <w:b/>
            <w:sz w:val="28"/>
            <w:szCs w:val="28"/>
          </w:rPr>
          <w:fldChar w:fldCharType="end"/>
        </w:r>
        <w:r>
          <w:rPr>
            <w:rFonts w:hint="eastAsia" w:asciiTheme="minorEastAsia" w:hAnsiTheme="minorEastAsia"/>
            <w:b/>
            <w:sz w:val="28"/>
            <w:szCs w:val="28"/>
          </w:rPr>
          <w:t xml:space="preserve"> </w:t>
        </w:r>
        <w:r>
          <w:rPr>
            <w:rFonts w:hint="eastAsia"/>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4842155"/>
    </w:sdtPr>
    <w:sdtEndPr>
      <w:rPr>
        <w:rFonts w:asciiTheme="minorEastAsia" w:hAnsiTheme="minorEastAsia"/>
        <w:b/>
        <w:sz w:val="28"/>
        <w:szCs w:val="28"/>
      </w:rPr>
    </w:sdtEndPr>
    <w:sdtContent>
      <w:p>
        <w:pPr>
          <w:pStyle w:val="2"/>
          <w:ind w:firstLine="180" w:firstLineChars="100"/>
          <w:rPr>
            <w:rFonts w:asciiTheme="minorEastAsia" w:hAnsiTheme="minorEastAsia"/>
            <w:b/>
            <w:sz w:val="28"/>
            <w:szCs w:val="28"/>
          </w:rPr>
        </w:pPr>
        <w:r>
          <w:rPr>
            <w:rFonts w:asciiTheme="minorEastAsia" w:hAnsiTheme="minorEastAsia"/>
            <w:b/>
            <w:sz w:val="28"/>
            <w:szCs w:val="28"/>
          </w:rPr>
          <w:fldChar w:fldCharType="begin"/>
        </w:r>
        <w:r>
          <w:rPr>
            <w:rFonts w:asciiTheme="minorEastAsia" w:hAnsiTheme="minorEastAsia"/>
            <w:b/>
            <w:sz w:val="28"/>
            <w:szCs w:val="28"/>
          </w:rPr>
          <w:instrText xml:space="preserve">PAGE   \* MERGEFORMAT</w:instrText>
        </w:r>
        <w:r>
          <w:rPr>
            <w:rFonts w:asciiTheme="minorEastAsia" w:hAnsiTheme="minorEastAsia"/>
            <w:b/>
            <w:sz w:val="28"/>
            <w:szCs w:val="28"/>
          </w:rPr>
          <w:fldChar w:fldCharType="separate"/>
        </w:r>
        <w:r>
          <w:rPr>
            <w:rFonts w:asciiTheme="minorEastAsia" w:hAnsiTheme="minorEastAsia"/>
            <w:b/>
            <w:sz w:val="28"/>
            <w:szCs w:val="28"/>
            <w:lang w:val="zh-CN"/>
          </w:rPr>
          <w:t>-</w:t>
        </w:r>
        <w:r>
          <w:rPr>
            <w:rFonts w:asciiTheme="minorEastAsia" w:hAnsiTheme="minorEastAsia"/>
            <w:b/>
            <w:sz w:val="28"/>
            <w:szCs w:val="28"/>
          </w:rPr>
          <w:t xml:space="preserve"> 20 -</w:t>
        </w:r>
        <w:r>
          <w:rPr>
            <w:rFonts w:asciiTheme="minorEastAsia" w:hAnsiTheme="minorEastAsia"/>
            <w:b/>
            <w:sz w:val="28"/>
            <w:szCs w:val="28"/>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mODA2MzVlNTI2MzU4NjMxMzA4Mzc5ODU5ZDk1MzIifQ=="/>
  </w:docVars>
  <w:rsids>
    <w:rsidRoot w:val="00000000"/>
    <w:rsid w:val="003B6581"/>
    <w:rsid w:val="03C97A0D"/>
    <w:rsid w:val="05164F23"/>
    <w:rsid w:val="05B45A60"/>
    <w:rsid w:val="077C5CB6"/>
    <w:rsid w:val="08F14771"/>
    <w:rsid w:val="097C3316"/>
    <w:rsid w:val="09CB04E3"/>
    <w:rsid w:val="0D1D5845"/>
    <w:rsid w:val="0E041741"/>
    <w:rsid w:val="10DB67FC"/>
    <w:rsid w:val="11393FD7"/>
    <w:rsid w:val="12135946"/>
    <w:rsid w:val="145116DA"/>
    <w:rsid w:val="1747322C"/>
    <w:rsid w:val="1DF601E6"/>
    <w:rsid w:val="1E5F37F2"/>
    <w:rsid w:val="1E817EBC"/>
    <w:rsid w:val="2F396D1F"/>
    <w:rsid w:val="30BF083E"/>
    <w:rsid w:val="3132175D"/>
    <w:rsid w:val="330E785B"/>
    <w:rsid w:val="38BC07AA"/>
    <w:rsid w:val="3BE15B0C"/>
    <w:rsid w:val="433E4636"/>
    <w:rsid w:val="48475FB8"/>
    <w:rsid w:val="4AEB20D8"/>
    <w:rsid w:val="4EB40A09"/>
    <w:rsid w:val="528623C5"/>
    <w:rsid w:val="536C1DA8"/>
    <w:rsid w:val="56462B75"/>
    <w:rsid w:val="5BCE1AB6"/>
    <w:rsid w:val="5D3142F3"/>
    <w:rsid w:val="5F406A62"/>
    <w:rsid w:val="5F9802E2"/>
    <w:rsid w:val="7463198D"/>
    <w:rsid w:val="76530DD9"/>
    <w:rsid w:val="7786479A"/>
    <w:rsid w:val="799247FE"/>
    <w:rsid w:val="7FA82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rPr>
  </w:style>
  <w:style w:type="paragraph" w:styleId="3">
    <w:name w:val="Normal (Web)"/>
    <w:basedOn w:val="1"/>
    <w:qFormat/>
    <w:uiPriority w:val="0"/>
    <w:pPr>
      <w:widowControl/>
      <w:spacing w:before="100" w:beforeAutospacing="1" w:after="100" w:afterAutospacing="1"/>
      <w:jc w:val="left"/>
    </w:pPr>
    <w:rPr>
      <w:rFonts w:ascii="宋体" w:hAnsi="宋体" w:cs="宋体"/>
      <w:sz w:val="24"/>
      <w:szCs w:val="24"/>
    </w:rPr>
  </w:style>
  <w:style w:type="character" w:styleId="6">
    <w:name w:val="Strong"/>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3376</Words>
  <Characters>3471</Characters>
  <Lines>0</Lines>
  <Paragraphs>0</Paragraphs>
  <TotalTime>25</TotalTime>
  <ScaleCrop>false</ScaleCrop>
  <LinksUpToDate>false</LinksUpToDate>
  <CharactersWithSpaces>3473</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2022-01-12T06:26:00Z</dcterms:created>
  <dc:creator>zwh</dc:creator>
  <cp:lastModifiedBy>Alvin</cp:lastModifiedBy>
  <dcterms:modified xsi:type="dcterms:W3CDTF">2022-09-05T02:58:32Z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D3C7FFC8A80E4C94B079F03223113CAE</vt:lpwstr>
  </property>
</Properties>
</file>