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4E42C">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14:paraId="49E7E52F">
      <w:pPr>
        <w:spacing w:line="590" w:lineRule="exact"/>
        <w:ind w:right="-100" w:rightChars="-50"/>
        <w:rPr>
          <w:rFonts w:hint="default" w:ascii="Times New Roman" w:hAnsi="Times New Roman" w:eastAsia="方正仿宋简体" w:cs="Times New Roman"/>
          <w:b/>
          <w:color w:val="000000"/>
          <w:sz w:val="32"/>
          <w:szCs w:val="32"/>
        </w:rPr>
      </w:pPr>
    </w:p>
    <w:p w14:paraId="2CC456C0">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曲阜市退役军人事务局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年政府信息公开工作年度报告</w:t>
      </w:r>
    </w:p>
    <w:p w14:paraId="23B4C3D6">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14:paraId="1A169E73">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曲阜市退役军人事务局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w:t>
      </w:r>
      <w:bookmarkStart w:id="10" w:name="_GoBack"/>
      <w:bookmarkEnd w:id="10"/>
      <w:r>
        <w:rPr>
          <w:rFonts w:hint="default" w:ascii="Times New Roman" w:hAnsi="Times New Roman" w:eastAsia="方正仿宋简体" w:cs="Times New Roman"/>
          <w:b/>
          <w:color w:val="000000"/>
          <w:spacing w:val="-11"/>
          <w:sz w:val="32"/>
          <w:szCs w:val="32"/>
        </w:rPr>
        <w:t>告格式》（国办公开办函〔2021〕30号）要求编制。</w:t>
      </w:r>
    </w:p>
    <w:p w14:paraId="140434C9">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5FCA3CF">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曲阜市退役军人事务局</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曲阜市天官第街西首路南</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4498181</w:t>
      </w:r>
      <w:r>
        <w:rPr>
          <w:rFonts w:hint="default" w:ascii="Times New Roman" w:hAnsi="Times New Roman" w:eastAsia="方正仿宋简体" w:cs="Times New Roman"/>
          <w:b/>
          <w:color w:val="000000"/>
          <w:sz w:val="32"/>
          <w:szCs w:val="32"/>
        </w:rPr>
        <w:t>）。</w:t>
      </w:r>
    </w:p>
    <w:p w14:paraId="57921D3A">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14:paraId="4A6D52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2024年，曲阜市退役军人事务坚持以习近平新时代中国特色社会主义思想为指导，全面贯彻落实党的二十大和二十届二中全会精神，深入学习贯彻习近平总书记关于退役军人工作重要论述，认真执行《政府信息公开条例》，着力深化政务公开，以公开促落实、促规范、促服务，助力退役军人工作高质量发展。</w:t>
      </w:r>
    </w:p>
    <w:p w14:paraId="5B9E1DA5">
      <w:pPr>
        <w:keepNext w:val="0"/>
        <w:keepLines w:val="0"/>
        <w:pageBreakBefore w:val="0"/>
        <w:kinsoku/>
        <w:wordWrap/>
        <w:overflowPunct/>
        <w:topLinePunct w:val="0"/>
        <w:autoSpaceDE/>
        <w:autoSpaceDN/>
        <w:bidi w:val="0"/>
        <w:adjustRightInd/>
        <w:snapToGrid/>
        <w:spacing w:line="56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14:paraId="2C24A5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Times New Roman" w:hAnsi="Times New Roman" w:eastAsia="方正仿宋简体" w:cs="Times New Roman"/>
          <w:b/>
          <w:color w:val="000000"/>
          <w:kern w:val="0"/>
          <w:sz w:val="32"/>
          <w:szCs w:val="32"/>
          <w:highlight w:val="yellow"/>
          <w:lang w:val="en-US" w:eastAsia="zh-CN" w:bidi="ar-SA"/>
        </w:rPr>
      </w:pPr>
      <w:r>
        <w:rPr>
          <w:rFonts w:hint="eastAsia" w:ascii="Times New Roman" w:hAnsi="Times New Roman" w:eastAsia="方正仿宋简体" w:cs="Times New Roman"/>
          <w:b/>
          <w:color w:val="000000"/>
          <w:kern w:val="0"/>
          <w:sz w:val="32"/>
          <w:szCs w:val="32"/>
          <w:lang w:val="en-US" w:eastAsia="zh-CN" w:bidi="ar-SA"/>
        </w:rPr>
        <w:t>加强对涉及公众利益调整、需要公众广泛知晓的政府信息公开力度，本年</w:t>
      </w:r>
      <w:r>
        <w:rPr>
          <w:rFonts w:hint="eastAsia" w:ascii="Times New Roman" w:hAnsi="Times New Roman" w:eastAsia="方正仿宋简体" w:cs="Times New Roman"/>
          <w:b/>
          <w:color w:val="000000"/>
          <w:kern w:val="0"/>
          <w:sz w:val="32"/>
          <w:szCs w:val="32"/>
          <w:highlight w:val="none"/>
          <w:lang w:val="en-US" w:eastAsia="zh-CN" w:bidi="ar-SA"/>
        </w:rPr>
        <w:t>度在</w:t>
      </w:r>
      <w:r>
        <w:rPr>
          <w:rFonts w:hint="eastAsia" w:eastAsia="方正仿宋简体" w:cs="Times New Roman"/>
          <w:b/>
          <w:color w:val="000000"/>
          <w:kern w:val="0"/>
          <w:sz w:val="32"/>
          <w:szCs w:val="32"/>
          <w:highlight w:val="none"/>
          <w:lang w:val="en-US" w:eastAsia="zh-CN" w:bidi="ar-SA"/>
        </w:rPr>
        <w:t>曲阜市退役军人事务局政府网站官网</w:t>
      </w:r>
      <w:r>
        <w:rPr>
          <w:rFonts w:hint="eastAsia" w:ascii="Times New Roman" w:hAnsi="Times New Roman" w:eastAsia="方正仿宋简体" w:cs="Times New Roman"/>
          <w:b/>
          <w:color w:val="000000"/>
          <w:kern w:val="0"/>
          <w:sz w:val="32"/>
          <w:szCs w:val="32"/>
          <w:lang w:val="en-US" w:eastAsia="zh-CN" w:bidi="ar-SA"/>
        </w:rPr>
        <w:t>主动公开政策法规文件6件。</w:t>
      </w:r>
    </w:p>
    <w:p w14:paraId="78F6E6E0">
      <w:pPr>
        <w:keepNext w:val="0"/>
        <w:keepLines w:val="0"/>
        <w:pageBreakBefore w:val="0"/>
        <w:kinsoku/>
        <w:wordWrap/>
        <w:overflowPunct/>
        <w:topLinePunct w:val="0"/>
        <w:autoSpaceDE/>
        <w:autoSpaceDN/>
        <w:bidi w:val="0"/>
        <w:adjustRightInd/>
        <w:snapToGrid/>
        <w:spacing w:line="56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14:paraId="1A3742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本年度共接到政府信息公开申请1件，均严格按照《政府信息公开条例》等有关规定进行办理和答复；本年度未发生针对部政府信息公开事务的行政复议，无行政诉讼。</w:t>
      </w:r>
    </w:p>
    <w:p w14:paraId="2180FC30">
      <w:pPr>
        <w:keepNext w:val="0"/>
        <w:keepLines w:val="0"/>
        <w:pageBreakBefore w:val="0"/>
        <w:kinsoku/>
        <w:wordWrap/>
        <w:overflowPunct/>
        <w:topLinePunct w:val="0"/>
        <w:autoSpaceDE/>
        <w:autoSpaceDN/>
        <w:bidi w:val="0"/>
        <w:adjustRightInd/>
        <w:snapToGrid/>
        <w:spacing w:line="56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14:paraId="0675B3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严格履行审查拟公开信息、维护和更新主动公开信息等职责，健全政府信息动态更新机制，及时清理已废止规章1件。加大政策发布解读力度，在官网、官微推出图解等新媒体产品2篇，以生动活泼形式解读政策。加强文件归档和档案管理，为查询使用和信息公开提供便利。</w:t>
      </w:r>
    </w:p>
    <w:p w14:paraId="6B79B97A">
      <w:pPr>
        <w:keepNext w:val="0"/>
        <w:keepLines w:val="0"/>
        <w:pageBreakBefore w:val="0"/>
        <w:kinsoku/>
        <w:wordWrap/>
        <w:overflowPunct/>
        <w:topLinePunct w:val="0"/>
        <w:autoSpaceDE/>
        <w:autoSpaceDN/>
        <w:bidi w:val="0"/>
        <w:adjustRightInd/>
        <w:snapToGrid/>
        <w:spacing w:line="56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14:paraId="6672EC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建强用好网站和政务新媒体运营力量，形成全覆盖融媒体矩阵，不断提升官网、政务新媒体等公开平台的传播力、引导力、影响力、公信力。官网全年发布信息107条，访问总量近2000次，窗口作用发挥明显。局微信公众号发布新闻150余条，订阅用户数增至2.3万。</w:t>
      </w:r>
    </w:p>
    <w:p w14:paraId="77EA46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drawing>
          <wp:anchor distT="0" distB="0" distL="114300" distR="114300" simplePos="0" relativeHeight="251659264" behindDoc="0" locked="0" layoutInCell="1" allowOverlap="1">
            <wp:simplePos x="0" y="0"/>
            <wp:positionH relativeFrom="column">
              <wp:posOffset>633730</wp:posOffset>
            </wp:positionH>
            <wp:positionV relativeFrom="paragraph">
              <wp:posOffset>153035</wp:posOffset>
            </wp:positionV>
            <wp:extent cx="3884930" cy="2073910"/>
            <wp:effectExtent l="4445" t="4445" r="15875" b="55245"/>
            <wp:wrapSquare wrapText="bothSides"/>
            <wp:docPr id="1" name="图表 1" descr="7b0a202020202263686172745265734964223a2022323034363838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68DB10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Times New Roman" w:hAnsi="Times New Roman" w:eastAsia="方正仿宋简体" w:cs="Times New Roman"/>
          <w:b/>
          <w:color w:val="000000"/>
          <w:kern w:val="0"/>
          <w:sz w:val="32"/>
          <w:szCs w:val="32"/>
          <w:lang w:val="en-US" w:eastAsia="zh-CN" w:bidi="ar-SA"/>
        </w:rPr>
      </w:pPr>
    </w:p>
    <w:p w14:paraId="326D33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Times New Roman" w:hAnsi="Times New Roman" w:eastAsia="方正仿宋简体" w:cs="Times New Roman"/>
          <w:b/>
          <w:color w:val="000000"/>
          <w:kern w:val="0"/>
          <w:sz w:val="32"/>
          <w:szCs w:val="32"/>
          <w:lang w:val="en-US" w:eastAsia="zh-CN" w:bidi="ar-SA"/>
        </w:rPr>
      </w:pPr>
    </w:p>
    <w:p w14:paraId="5E5C35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Times New Roman" w:hAnsi="Times New Roman" w:eastAsia="方正仿宋简体" w:cs="Times New Roman"/>
          <w:b/>
          <w:color w:val="000000"/>
          <w:kern w:val="0"/>
          <w:sz w:val="32"/>
          <w:szCs w:val="32"/>
          <w:lang w:val="en-US" w:eastAsia="zh-CN" w:bidi="ar-SA"/>
        </w:rPr>
      </w:pPr>
    </w:p>
    <w:p w14:paraId="68F625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Times New Roman" w:hAnsi="Times New Roman" w:eastAsia="方正仿宋简体" w:cs="Times New Roman"/>
          <w:b/>
          <w:color w:val="000000"/>
          <w:kern w:val="0"/>
          <w:sz w:val="32"/>
          <w:szCs w:val="32"/>
          <w:lang w:val="en-US" w:eastAsia="zh-CN" w:bidi="ar-SA"/>
        </w:rPr>
      </w:pPr>
    </w:p>
    <w:p w14:paraId="15FF9CB0">
      <w:pPr>
        <w:keepNext w:val="0"/>
        <w:keepLines w:val="0"/>
        <w:pageBreakBefore w:val="0"/>
        <w:kinsoku/>
        <w:wordWrap/>
        <w:overflowPunct/>
        <w:topLinePunct w:val="0"/>
        <w:autoSpaceDE/>
        <w:autoSpaceDN/>
        <w:bidi w:val="0"/>
        <w:adjustRightInd/>
        <w:snapToGrid/>
        <w:spacing w:line="56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14:paraId="662874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严格执行政府信息公开保密审查制度，明确审查标准、程序和责任。健全政府信息公开工作台账，明确责任单位、完成时限和具体要求，定期盘点办理情况。强化政府信息公开工作考核监督，采取口头提醒、通报批评、约谈等方式，激励责任单位认真履职。</w:t>
      </w:r>
    </w:p>
    <w:p w14:paraId="38A708D9">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9060" w:type="dxa"/>
        <w:tblInd w:w="0" w:type="dxa"/>
        <w:tblLayout w:type="fixed"/>
        <w:tblCellMar>
          <w:top w:w="0" w:type="dxa"/>
          <w:left w:w="108" w:type="dxa"/>
          <w:bottom w:w="0" w:type="dxa"/>
          <w:right w:w="108" w:type="dxa"/>
        </w:tblCellMar>
      </w:tblPr>
      <w:tblGrid>
        <w:gridCol w:w="2265"/>
        <w:gridCol w:w="2265"/>
        <w:gridCol w:w="2265"/>
        <w:gridCol w:w="2265"/>
      </w:tblGrid>
      <w:tr w14:paraId="541C3ECF">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5CE2CF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082429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8BDA78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54DDC5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1F840B7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3BFABFE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484CA4C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5D9B3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52D34C1B">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4495349">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DC2C57E">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0F3510B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E50B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0211252E">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609A2EB0">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c>
          <w:tcPr>
            <w:tcW w:w="2265" w:type="dxa"/>
            <w:tcBorders>
              <w:top w:val="nil"/>
              <w:left w:val="nil"/>
              <w:bottom w:val="single" w:color="auto" w:sz="8" w:space="0"/>
              <w:right w:val="single" w:color="auto" w:sz="8" w:space="0"/>
            </w:tcBorders>
            <w:shd w:val="clear" w:color="auto" w:fill="auto"/>
            <w:vAlign w:val="center"/>
          </w:tcPr>
          <w:p w14:paraId="457936DC">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1</w:t>
            </w:r>
          </w:p>
        </w:tc>
      </w:tr>
      <w:tr w14:paraId="2A32919C">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4EBD21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E8F5ED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033BFD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7FF64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23AA6FFF">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BDD718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60CBDB6">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93D7411">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AAD5A0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43CB2EB2">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77639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F9FD25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37BBBF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CA0C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7874D4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5C17FBF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887690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B40CEA2">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7052988B">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025B2E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4BE985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AFE783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894ECA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5767E65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9239C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246B40D">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20E2D077">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p>
    <w:p w14:paraId="667FFE57">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0E4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F8C85F2">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38E82C0D">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5DBCE971">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461ED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7597F85">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22FA2037">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53E9A3F9">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33661C6E">
            <w:pPr>
              <w:widowControl/>
              <w:jc w:val="center"/>
              <w:rPr>
                <w:rFonts w:ascii="黑体" w:hAnsi="黑体" w:eastAsia="黑体"/>
                <w:szCs w:val="21"/>
              </w:rPr>
            </w:pPr>
            <w:r>
              <w:rPr>
                <w:rFonts w:hint="eastAsia" w:ascii="黑体" w:hAnsi="黑体" w:eastAsia="黑体"/>
                <w:kern w:val="0"/>
                <w:szCs w:val="21"/>
              </w:rPr>
              <w:t>总计</w:t>
            </w:r>
          </w:p>
        </w:tc>
      </w:tr>
      <w:tr w14:paraId="33EFB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BB928F7">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361189B5">
            <w:pPr>
              <w:jc w:val="center"/>
              <w:rPr>
                <w:rFonts w:ascii="黑体" w:hAnsi="黑体" w:eastAsia="黑体"/>
                <w:szCs w:val="21"/>
              </w:rPr>
            </w:pPr>
          </w:p>
        </w:tc>
        <w:tc>
          <w:tcPr>
            <w:tcW w:w="567" w:type="dxa"/>
            <w:shd w:val="clear" w:color="auto" w:fill="auto"/>
            <w:tcMar>
              <w:left w:w="108" w:type="dxa"/>
              <w:right w:w="108" w:type="dxa"/>
            </w:tcMar>
            <w:vAlign w:val="center"/>
          </w:tcPr>
          <w:p w14:paraId="0A529DE0">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68F49994">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2C2E9C39">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720078A7">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433FE5A8">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49502253">
            <w:pPr>
              <w:jc w:val="center"/>
              <w:rPr>
                <w:rFonts w:ascii="仿宋_GB2312" w:hAnsi="Times New Roman" w:eastAsia="仿宋_GB2312"/>
                <w:szCs w:val="21"/>
              </w:rPr>
            </w:pPr>
          </w:p>
        </w:tc>
      </w:tr>
      <w:tr w14:paraId="3A668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1BC8237">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7F72FE3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13AA59B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5AD8CF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D6BB4D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EB87A3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84A251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201F72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14:paraId="4E3EC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3CC8A81">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1BC856D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23187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63A808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1B7B8C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F4D6CC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C28B49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F939B1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32A48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6207FE2">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54B73E57">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69C645E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12B68B6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6BCF0A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F6AD0A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C26197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2C916C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197E0D5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14:paraId="62B0C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FFB0BB1">
            <w:pPr>
              <w:rPr>
                <w:rFonts w:ascii="黑体" w:hAnsi="黑体" w:eastAsia="黑体"/>
                <w:szCs w:val="21"/>
              </w:rPr>
            </w:pPr>
          </w:p>
        </w:tc>
        <w:tc>
          <w:tcPr>
            <w:tcW w:w="4677" w:type="dxa"/>
            <w:gridSpan w:val="2"/>
            <w:shd w:val="clear" w:color="auto" w:fill="auto"/>
            <w:tcMar>
              <w:left w:w="108" w:type="dxa"/>
              <w:right w:w="108" w:type="dxa"/>
            </w:tcMar>
            <w:vAlign w:val="center"/>
          </w:tcPr>
          <w:p w14:paraId="40A5916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0E36893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7D5902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D9366F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755003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FEFDAB4">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29D4761">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65E338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35F7E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474C038">
            <w:pPr>
              <w:rPr>
                <w:rFonts w:ascii="黑体" w:hAnsi="黑体" w:eastAsia="黑体"/>
                <w:szCs w:val="21"/>
              </w:rPr>
            </w:pPr>
          </w:p>
        </w:tc>
        <w:tc>
          <w:tcPr>
            <w:tcW w:w="1701" w:type="dxa"/>
            <w:vMerge w:val="restart"/>
            <w:shd w:val="clear" w:color="auto" w:fill="auto"/>
            <w:tcMar>
              <w:left w:w="108" w:type="dxa"/>
              <w:right w:w="108" w:type="dxa"/>
            </w:tcMar>
            <w:vAlign w:val="center"/>
          </w:tcPr>
          <w:p w14:paraId="7140E32F">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BFD467E">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2C9A9D3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18E8F2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CBF218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DB2A4E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9020E2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7936F8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85EA48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71E33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6F59830">
            <w:pPr>
              <w:rPr>
                <w:rFonts w:ascii="黑体" w:hAnsi="黑体" w:eastAsia="黑体"/>
                <w:szCs w:val="21"/>
              </w:rPr>
            </w:pPr>
          </w:p>
        </w:tc>
        <w:tc>
          <w:tcPr>
            <w:tcW w:w="1701" w:type="dxa"/>
            <w:vMerge w:val="continue"/>
            <w:shd w:val="clear" w:color="auto" w:fill="auto"/>
            <w:tcMar>
              <w:left w:w="108" w:type="dxa"/>
              <w:right w:w="108" w:type="dxa"/>
            </w:tcMar>
            <w:vAlign w:val="center"/>
          </w:tcPr>
          <w:p w14:paraId="06B5A26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5B5F3F">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67E8C9F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9F677F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020E46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01359F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04DE8C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58D5E1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E2D8E6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2DFCF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0B5284">
            <w:pPr>
              <w:rPr>
                <w:rFonts w:ascii="黑体" w:hAnsi="黑体" w:eastAsia="黑体"/>
                <w:szCs w:val="21"/>
              </w:rPr>
            </w:pPr>
          </w:p>
        </w:tc>
        <w:tc>
          <w:tcPr>
            <w:tcW w:w="1701" w:type="dxa"/>
            <w:vMerge w:val="continue"/>
            <w:shd w:val="clear" w:color="auto" w:fill="auto"/>
            <w:tcMar>
              <w:left w:w="108" w:type="dxa"/>
              <w:right w:w="108" w:type="dxa"/>
            </w:tcMar>
            <w:vAlign w:val="center"/>
          </w:tcPr>
          <w:p w14:paraId="32657B5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08A4AE">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1B005CE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23CCA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DE31FB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7582A1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5BFB2D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5D57D1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C85886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2E2A0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9CC250">
            <w:pPr>
              <w:rPr>
                <w:rFonts w:ascii="黑体" w:hAnsi="黑体" w:eastAsia="黑体"/>
                <w:szCs w:val="21"/>
              </w:rPr>
            </w:pPr>
          </w:p>
        </w:tc>
        <w:tc>
          <w:tcPr>
            <w:tcW w:w="1701" w:type="dxa"/>
            <w:vMerge w:val="continue"/>
            <w:shd w:val="clear" w:color="auto" w:fill="auto"/>
            <w:tcMar>
              <w:left w:w="108" w:type="dxa"/>
              <w:right w:w="108" w:type="dxa"/>
            </w:tcMar>
            <w:vAlign w:val="center"/>
          </w:tcPr>
          <w:p w14:paraId="301F73E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981E3C">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5E73A87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066FD6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2A9B0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7EFBBC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E4A29B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51DA37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C9CF12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33501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4C2919">
            <w:pPr>
              <w:rPr>
                <w:rFonts w:ascii="黑体" w:hAnsi="黑体" w:eastAsia="黑体"/>
                <w:szCs w:val="21"/>
              </w:rPr>
            </w:pPr>
          </w:p>
        </w:tc>
        <w:tc>
          <w:tcPr>
            <w:tcW w:w="1701" w:type="dxa"/>
            <w:vMerge w:val="continue"/>
            <w:shd w:val="clear" w:color="auto" w:fill="auto"/>
            <w:tcMar>
              <w:left w:w="108" w:type="dxa"/>
              <w:right w:w="108" w:type="dxa"/>
            </w:tcMar>
            <w:vAlign w:val="center"/>
          </w:tcPr>
          <w:p w14:paraId="37199C0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680BD6">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2A15916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CCAFDA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655EA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2E81F7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F9FE68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B30505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BCEADD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396E7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E2D2AD">
            <w:pPr>
              <w:rPr>
                <w:rFonts w:ascii="黑体" w:hAnsi="黑体" w:eastAsia="黑体"/>
                <w:szCs w:val="21"/>
              </w:rPr>
            </w:pPr>
          </w:p>
        </w:tc>
        <w:tc>
          <w:tcPr>
            <w:tcW w:w="1701" w:type="dxa"/>
            <w:vMerge w:val="continue"/>
            <w:shd w:val="clear" w:color="auto" w:fill="auto"/>
            <w:tcMar>
              <w:left w:w="108" w:type="dxa"/>
              <w:right w:w="108" w:type="dxa"/>
            </w:tcMar>
            <w:vAlign w:val="center"/>
          </w:tcPr>
          <w:p w14:paraId="4D9B1B4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6A2174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20394E3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1C431E8">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4F38F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810DA8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C68C33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7F8FF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23C4B9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6603C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E5B321">
            <w:pPr>
              <w:rPr>
                <w:rFonts w:ascii="黑体" w:hAnsi="黑体" w:eastAsia="黑体"/>
                <w:szCs w:val="21"/>
              </w:rPr>
            </w:pPr>
          </w:p>
        </w:tc>
        <w:tc>
          <w:tcPr>
            <w:tcW w:w="1701" w:type="dxa"/>
            <w:vMerge w:val="continue"/>
            <w:shd w:val="clear" w:color="auto" w:fill="auto"/>
            <w:tcMar>
              <w:left w:w="108" w:type="dxa"/>
              <w:right w:w="108" w:type="dxa"/>
            </w:tcMar>
            <w:vAlign w:val="center"/>
          </w:tcPr>
          <w:p w14:paraId="74351E6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9D77022">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4B90773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AC8FC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2A17DC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B0BC2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7416B6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73CCE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596B10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597D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C02C6E6">
            <w:pPr>
              <w:rPr>
                <w:rFonts w:ascii="黑体" w:hAnsi="黑体" w:eastAsia="黑体"/>
                <w:szCs w:val="21"/>
              </w:rPr>
            </w:pPr>
          </w:p>
        </w:tc>
        <w:tc>
          <w:tcPr>
            <w:tcW w:w="1701" w:type="dxa"/>
            <w:vMerge w:val="continue"/>
            <w:shd w:val="clear" w:color="auto" w:fill="auto"/>
            <w:tcMar>
              <w:left w:w="108" w:type="dxa"/>
              <w:right w:w="108" w:type="dxa"/>
            </w:tcMar>
            <w:vAlign w:val="center"/>
          </w:tcPr>
          <w:p w14:paraId="2C8B845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4A285D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0B0BCBA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8962C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68BE66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24BBE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AD5EFB3">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46A1F7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D4C3668">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58E6D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CE1A3E">
            <w:pPr>
              <w:rPr>
                <w:rFonts w:ascii="黑体" w:hAnsi="黑体" w:eastAsia="黑体"/>
                <w:szCs w:val="21"/>
              </w:rPr>
            </w:pPr>
          </w:p>
        </w:tc>
        <w:tc>
          <w:tcPr>
            <w:tcW w:w="1701" w:type="dxa"/>
            <w:vMerge w:val="restart"/>
            <w:shd w:val="clear" w:color="auto" w:fill="auto"/>
            <w:tcMar>
              <w:left w:w="108" w:type="dxa"/>
              <w:right w:w="108" w:type="dxa"/>
            </w:tcMar>
            <w:vAlign w:val="center"/>
          </w:tcPr>
          <w:p w14:paraId="4FC8922B">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452D8F28">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19C3DA5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F8F57E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329C64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19B7F7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BF5D948">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902BC73">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2D76760">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3C703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858EE85">
            <w:pPr>
              <w:rPr>
                <w:rFonts w:ascii="黑体" w:hAnsi="黑体" w:eastAsia="黑体"/>
                <w:szCs w:val="21"/>
              </w:rPr>
            </w:pPr>
          </w:p>
        </w:tc>
        <w:tc>
          <w:tcPr>
            <w:tcW w:w="1701" w:type="dxa"/>
            <w:vMerge w:val="continue"/>
            <w:shd w:val="clear" w:color="auto" w:fill="auto"/>
            <w:tcMar>
              <w:left w:w="108" w:type="dxa"/>
              <w:right w:w="108" w:type="dxa"/>
            </w:tcMar>
            <w:vAlign w:val="center"/>
          </w:tcPr>
          <w:p w14:paraId="545D4639">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14:paraId="69F8951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16721B2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61B6A8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C9FBEE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B4B385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63D267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209C2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8F6E2A8">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043D6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0D3D0">
            <w:pPr>
              <w:rPr>
                <w:rFonts w:ascii="黑体" w:hAnsi="黑体" w:eastAsia="黑体"/>
                <w:szCs w:val="21"/>
              </w:rPr>
            </w:pPr>
          </w:p>
        </w:tc>
        <w:tc>
          <w:tcPr>
            <w:tcW w:w="1701" w:type="dxa"/>
            <w:vMerge w:val="continue"/>
            <w:shd w:val="clear" w:color="auto" w:fill="auto"/>
            <w:tcMar>
              <w:left w:w="108" w:type="dxa"/>
              <w:right w:w="108" w:type="dxa"/>
            </w:tcMar>
            <w:vAlign w:val="center"/>
          </w:tcPr>
          <w:p w14:paraId="3654CD97">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14:paraId="53C64E3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34E6073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034F8D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C9263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D4474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4AFED2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8EFD9E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6B6272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165E0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E060106">
            <w:pPr>
              <w:rPr>
                <w:rFonts w:ascii="黑体" w:hAnsi="黑体" w:eastAsia="黑体"/>
                <w:szCs w:val="21"/>
              </w:rPr>
            </w:pPr>
          </w:p>
        </w:tc>
        <w:tc>
          <w:tcPr>
            <w:tcW w:w="1701" w:type="dxa"/>
            <w:vMerge w:val="restart"/>
            <w:shd w:val="clear" w:color="auto" w:fill="auto"/>
            <w:tcMar>
              <w:left w:w="108" w:type="dxa"/>
              <w:right w:w="108" w:type="dxa"/>
            </w:tcMar>
            <w:vAlign w:val="center"/>
          </w:tcPr>
          <w:p w14:paraId="7D0BFB01">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52987339">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3820984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B636B6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34FF68">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E3CFFB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04A524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BEFDFC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D5C0FE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1004D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275EA11">
            <w:pPr>
              <w:rPr>
                <w:rFonts w:ascii="黑体" w:hAnsi="黑体" w:eastAsia="黑体"/>
                <w:szCs w:val="21"/>
              </w:rPr>
            </w:pPr>
          </w:p>
        </w:tc>
        <w:tc>
          <w:tcPr>
            <w:tcW w:w="1701" w:type="dxa"/>
            <w:vMerge w:val="continue"/>
            <w:shd w:val="clear" w:color="auto" w:fill="auto"/>
            <w:tcMar>
              <w:left w:w="108" w:type="dxa"/>
              <w:right w:w="108" w:type="dxa"/>
            </w:tcMar>
            <w:vAlign w:val="center"/>
          </w:tcPr>
          <w:p w14:paraId="67BDC1A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894B364">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77B9CAE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9B321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962F3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5A7FCE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395AA2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04AFC0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C24F66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29724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FE9CAD">
            <w:pPr>
              <w:rPr>
                <w:rFonts w:ascii="黑体" w:hAnsi="黑体" w:eastAsia="黑体"/>
                <w:szCs w:val="21"/>
              </w:rPr>
            </w:pPr>
          </w:p>
        </w:tc>
        <w:tc>
          <w:tcPr>
            <w:tcW w:w="1701" w:type="dxa"/>
            <w:vMerge w:val="continue"/>
            <w:shd w:val="clear" w:color="auto" w:fill="auto"/>
            <w:tcMar>
              <w:left w:w="108" w:type="dxa"/>
              <w:right w:w="108" w:type="dxa"/>
            </w:tcMar>
            <w:vAlign w:val="center"/>
          </w:tcPr>
          <w:p w14:paraId="15D2EE2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0B4E91E">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3B1FF63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84FB4A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8BB6B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5E9939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A6D411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726AF0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ACECDE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498D6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53B7E348">
            <w:pPr>
              <w:rPr>
                <w:rFonts w:ascii="黑体" w:hAnsi="黑体" w:eastAsia="黑体"/>
                <w:szCs w:val="21"/>
              </w:rPr>
            </w:pPr>
          </w:p>
        </w:tc>
        <w:tc>
          <w:tcPr>
            <w:tcW w:w="1701" w:type="dxa"/>
            <w:vMerge w:val="continue"/>
            <w:shd w:val="clear" w:color="auto" w:fill="auto"/>
            <w:tcMar>
              <w:left w:w="108" w:type="dxa"/>
              <w:right w:w="108" w:type="dxa"/>
            </w:tcMar>
            <w:vAlign w:val="center"/>
          </w:tcPr>
          <w:p w14:paraId="2132E33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F46674F">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2409B12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321DE9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FA1DFD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AAB405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D7804F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1FE52D3">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11A44E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0F825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BF7693">
            <w:pPr>
              <w:rPr>
                <w:rFonts w:ascii="黑体" w:hAnsi="黑体" w:eastAsia="黑体"/>
                <w:szCs w:val="21"/>
              </w:rPr>
            </w:pPr>
          </w:p>
        </w:tc>
        <w:tc>
          <w:tcPr>
            <w:tcW w:w="1701" w:type="dxa"/>
            <w:vMerge w:val="continue"/>
            <w:shd w:val="clear" w:color="auto" w:fill="auto"/>
            <w:tcMar>
              <w:left w:w="108" w:type="dxa"/>
              <w:right w:w="108" w:type="dxa"/>
            </w:tcMar>
            <w:vAlign w:val="center"/>
          </w:tcPr>
          <w:p w14:paraId="7F166DB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E6BF84E">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4C8BF222">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5F8DE78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3BF6EF0">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725380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D91A63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4C62DA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86A5E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08F4CB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41A6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632A7C">
            <w:pPr>
              <w:rPr>
                <w:rFonts w:ascii="黑体" w:hAnsi="黑体" w:eastAsia="黑体"/>
                <w:szCs w:val="21"/>
              </w:rPr>
            </w:pPr>
          </w:p>
        </w:tc>
        <w:tc>
          <w:tcPr>
            <w:tcW w:w="1701" w:type="dxa"/>
            <w:vMerge w:val="restart"/>
            <w:shd w:val="clear" w:color="auto" w:fill="auto"/>
            <w:tcMar>
              <w:left w:w="108" w:type="dxa"/>
              <w:right w:w="108" w:type="dxa"/>
            </w:tcMar>
            <w:vAlign w:val="center"/>
          </w:tcPr>
          <w:p w14:paraId="578EBA9F">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344D56F0">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96BF3E0">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C97D5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26CBC9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DEDC52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A4581C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118862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4F5CE13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2BD74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3E12CEF">
            <w:pPr>
              <w:rPr>
                <w:rFonts w:ascii="黑体" w:hAnsi="黑体" w:eastAsia="黑体"/>
                <w:szCs w:val="21"/>
              </w:rPr>
            </w:pPr>
          </w:p>
        </w:tc>
        <w:tc>
          <w:tcPr>
            <w:tcW w:w="1701" w:type="dxa"/>
            <w:vMerge w:val="continue"/>
            <w:shd w:val="clear" w:color="auto" w:fill="auto"/>
            <w:tcMar>
              <w:left w:w="108" w:type="dxa"/>
              <w:right w:w="108" w:type="dxa"/>
            </w:tcMar>
            <w:vAlign w:val="center"/>
          </w:tcPr>
          <w:p w14:paraId="06EA47FF">
            <w:pPr>
              <w:widowControl/>
              <w:spacing w:line="300" w:lineRule="exact"/>
              <w:rPr>
                <w:rFonts w:ascii="黑体" w:hAnsi="黑体" w:eastAsia="黑体"/>
                <w:kern w:val="0"/>
                <w:szCs w:val="21"/>
              </w:rPr>
            </w:pPr>
          </w:p>
        </w:tc>
        <w:tc>
          <w:tcPr>
            <w:tcW w:w="2976" w:type="dxa"/>
            <w:shd w:val="clear" w:color="auto" w:fill="auto"/>
            <w:vAlign w:val="center"/>
          </w:tcPr>
          <w:p w14:paraId="22C1ADDF">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BFE4D2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7D78B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BA2965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BF505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373C7C8">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D60A66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27A308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71D25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F0A07F7">
            <w:pPr>
              <w:rPr>
                <w:rFonts w:ascii="黑体" w:hAnsi="黑体" w:eastAsia="黑体"/>
                <w:szCs w:val="21"/>
              </w:rPr>
            </w:pPr>
          </w:p>
        </w:tc>
        <w:tc>
          <w:tcPr>
            <w:tcW w:w="1701" w:type="dxa"/>
            <w:vMerge w:val="continue"/>
            <w:shd w:val="clear" w:color="auto" w:fill="auto"/>
            <w:tcMar>
              <w:left w:w="108" w:type="dxa"/>
              <w:right w:w="108" w:type="dxa"/>
            </w:tcMar>
            <w:vAlign w:val="center"/>
          </w:tcPr>
          <w:p w14:paraId="1A20ADBC">
            <w:pPr>
              <w:widowControl/>
              <w:spacing w:line="300" w:lineRule="exact"/>
              <w:rPr>
                <w:rFonts w:ascii="黑体" w:hAnsi="黑体" w:eastAsia="黑体"/>
                <w:kern w:val="0"/>
                <w:szCs w:val="21"/>
              </w:rPr>
            </w:pPr>
          </w:p>
        </w:tc>
        <w:tc>
          <w:tcPr>
            <w:tcW w:w="2976" w:type="dxa"/>
            <w:shd w:val="clear" w:color="auto" w:fill="auto"/>
            <w:vAlign w:val="center"/>
          </w:tcPr>
          <w:p w14:paraId="1BA20D45">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2B8126B3">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FD717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8EF354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9251DE0">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136429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1E33A4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E2DBB4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5FF33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EDD63C">
            <w:pPr>
              <w:rPr>
                <w:rFonts w:ascii="黑体" w:hAnsi="黑体" w:eastAsia="黑体"/>
                <w:szCs w:val="21"/>
              </w:rPr>
            </w:pPr>
          </w:p>
        </w:tc>
        <w:tc>
          <w:tcPr>
            <w:tcW w:w="4677" w:type="dxa"/>
            <w:gridSpan w:val="2"/>
            <w:shd w:val="clear" w:color="auto" w:fill="auto"/>
            <w:tcMar>
              <w:left w:w="108" w:type="dxa"/>
              <w:right w:w="108" w:type="dxa"/>
            </w:tcMar>
            <w:vAlign w:val="center"/>
          </w:tcPr>
          <w:p w14:paraId="3DF6BF68">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8099DB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4166649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AA6F66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D6ABED3">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98BF86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131743">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7D8E53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1</w:t>
            </w:r>
          </w:p>
        </w:tc>
      </w:tr>
      <w:tr w14:paraId="25246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15E3178">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1F020A28">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9A3725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97B127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09DD1B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6F0FC4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279D5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D72362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bl>
    <w:p w14:paraId="15B498E7">
      <w:pPr>
        <w:spacing w:line="590" w:lineRule="exact"/>
        <w:ind w:right="-100" w:rightChars="-50" w:firstLine="643" w:firstLineChars="200"/>
        <w:rPr>
          <w:rFonts w:hint="default" w:ascii="Times New Roman" w:hAnsi="Times New Roman" w:eastAsia="方正黑体简体" w:cs="Times New Roman"/>
          <w:b/>
          <w:sz w:val="32"/>
          <w:szCs w:val="32"/>
        </w:rPr>
      </w:pPr>
    </w:p>
    <w:p w14:paraId="1A832E98">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6950C6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6F5F64">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4E083E">
            <w:pPr>
              <w:widowControl/>
              <w:jc w:val="center"/>
              <w:rPr>
                <w:rFonts w:ascii="黑体" w:hAnsi="黑体" w:eastAsia="黑体"/>
              </w:rPr>
            </w:pPr>
            <w:r>
              <w:rPr>
                <w:rFonts w:ascii="黑体" w:hAnsi="黑体" w:eastAsia="黑体"/>
                <w:kern w:val="0"/>
                <w:sz w:val="20"/>
                <w:szCs w:val="20"/>
              </w:rPr>
              <w:t>行政诉讼</w:t>
            </w:r>
          </w:p>
        </w:tc>
      </w:tr>
      <w:tr w14:paraId="33081B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09B494">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14:paraId="532070CF">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DCB3D3A">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40D9C7">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673F0F">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14:paraId="1D8A24A5">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582B9">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2B98169">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9C6502">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CBAD0F">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7A3B9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3A17E0">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F94626F">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81680E">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BAE837">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0CED68">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48383A7">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B757B5">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67EAA5">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14:paraId="2FACB3BC">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DFF936">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14:paraId="2CE937D1">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E8B3F3">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DEEA31">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BD62B1">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14:paraId="371D9597">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308F06">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14:paraId="4C984D10">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E1FAB7">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13C57E">
            <w:pPr>
              <w:widowControl/>
              <w:jc w:val="center"/>
              <w:rPr>
                <w:rFonts w:ascii="黑体" w:hAnsi="黑体" w:eastAsia="黑体"/>
              </w:rPr>
            </w:pPr>
            <w:r>
              <w:rPr>
                <w:rFonts w:ascii="黑体" w:hAnsi="黑体" w:eastAsia="黑体"/>
                <w:kern w:val="0"/>
                <w:sz w:val="20"/>
                <w:szCs w:val="20"/>
              </w:rPr>
              <w:t>总计</w:t>
            </w:r>
          </w:p>
        </w:tc>
      </w:tr>
      <w:tr w14:paraId="2A9D59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39E1F5">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4E066D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A7D7D28">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298AD5F">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72D9F3B">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EDAA7F0">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ACEBA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FAA2B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7F96E4A">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0F4686">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BCD583">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39B5CE">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98E0C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6B72105">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5386582B">
            <w:pPr>
              <w:widowControl/>
              <w:spacing w:after="180"/>
              <w:jc w:val="center"/>
              <w:rPr>
                <w:rFonts w:hint="eastAsia" w:ascii="Times New Roman" w:hAnsi="Times New Roman" w:eastAsia="宋体"/>
                <w:lang w:val="en-US" w:eastAsia="zh-CN"/>
              </w:rPr>
            </w:pPr>
            <w:r>
              <w:rPr>
                <w:rFonts w:hint="eastAsia"/>
                <w:lang w:val="en-US" w:eastAsia="zh-CN"/>
              </w:rPr>
              <w:t>0</w:t>
            </w:r>
          </w:p>
        </w:tc>
      </w:tr>
    </w:tbl>
    <w:p w14:paraId="2E1004BC">
      <w:pPr>
        <w:spacing w:line="590" w:lineRule="exact"/>
        <w:ind w:right="-100" w:rightChars="-50"/>
        <w:rPr>
          <w:rFonts w:hint="default" w:ascii="Times New Roman" w:hAnsi="Times New Roman" w:eastAsia="方正黑体简体" w:cs="Times New Roman"/>
          <w:b/>
          <w:sz w:val="32"/>
          <w:szCs w:val="32"/>
        </w:rPr>
      </w:pPr>
    </w:p>
    <w:p w14:paraId="43F9C44C">
      <w:pPr>
        <w:numPr>
          <w:ilvl w:val="0"/>
          <w:numId w:val="1"/>
        </w:num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存在的主要问题及改进情况</w:t>
      </w:r>
    </w:p>
    <w:p w14:paraId="4782370B">
      <w:pPr>
        <w:numPr>
          <w:ilvl w:val="0"/>
          <w:numId w:val="0"/>
        </w:numPr>
        <w:spacing w:line="590" w:lineRule="exact"/>
        <w:ind w:right="-100" w:rightChars="-50" w:firstLine="643" w:firstLineChars="200"/>
        <w:rPr>
          <w:rFonts w:hint="default"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对照《政府信息公开条例》有关要求，还存在以下问题：一是政府信息公开工作培训力度需进一步加大；二是退役军人工作跨军地特征明显、涉密文件多，有时答复意见难以满足申请人所需。下一步，我们将加大培训力度，多向其他部门学习请教先进经验做法，不断提升政府信息公开工作能力水平；在文件执行过程中，坚持科学定密、精准定密、及时解密的原则，既确保国家秘密安全，又促进信息资源合理利用，尽力满足申请人所需。</w:t>
      </w:r>
    </w:p>
    <w:p w14:paraId="06A20D2A">
      <w:pPr>
        <w:spacing w:line="590" w:lineRule="exact"/>
        <w:ind w:right="-100" w:rightChars="-50" w:firstLine="643" w:firstLineChars="200"/>
        <w:rPr>
          <w:rFonts w:hint="eastAsia" w:ascii="Times New Roman" w:hAnsi="Times New Roman" w:eastAsia="方正黑体简体" w:cs="Times New Roman"/>
          <w:b/>
          <w:sz w:val="32"/>
          <w:szCs w:val="32"/>
          <w:lang w:val="en-US" w:eastAsia="zh-CN"/>
        </w:rPr>
      </w:pPr>
      <w:r>
        <w:rPr>
          <w:rFonts w:hint="default" w:ascii="Times New Roman" w:hAnsi="Times New Roman" w:eastAsia="方正黑体简体" w:cs="Times New Roman"/>
          <w:b/>
          <w:sz w:val="32"/>
          <w:szCs w:val="32"/>
        </w:rPr>
        <w:t>六、其他需要报告的事项</w:t>
      </w:r>
    </w:p>
    <w:p w14:paraId="71554F7C">
      <w:pPr>
        <w:numPr>
          <w:ilvl w:val="0"/>
          <w:numId w:val="0"/>
        </w:numPr>
        <w:spacing w:line="590" w:lineRule="exact"/>
        <w:ind w:right="-100" w:rightChars="-50" w:firstLine="643" w:firstLineChars="200"/>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（一）依据《政府信息公开信息处理费管理办法》收取信息处理费的情况</w:t>
      </w:r>
    </w:p>
    <w:p w14:paraId="23CEB155">
      <w:pPr>
        <w:numPr>
          <w:ilvl w:val="0"/>
          <w:numId w:val="0"/>
        </w:numPr>
        <w:spacing w:line="590" w:lineRule="exact"/>
        <w:ind w:right="-100" w:rightChars="-50" w:firstLine="643" w:firstLineChars="200"/>
        <w:rPr>
          <w:rFonts w:hint="default" w:ascii="Times New Roman" w:hAnsi="Times New Roman" w:eastAsia="方正仿宋简体" w:cs="Times New Roman"/>
          <w:b/>
          <w:color w:val="000000"/>
          <w:kern w:val="0"/>
          <w:sz w:val="32"/>
          <w:szCs w:val="32"/>
          <w:lang w:val="en-US" w:eastAsia="zh-CN" w:bidi="ar-SA"/>
        </w:rPr>
      </w:pPr>
      <w:r>
        <w:rPr>
          <w:rFonts w:hint="eastAsia" w:eastAsia="方正仿宋简体" w:cs="Times New Roman"/>
          <w:b/>
          <w:color w:val="000000"/>
          <w:kern w:val="0"/>
          <w:sz w:val="32"/>
          <w:szCs w:val="32"/>
          <w:lang w:val="en-US" w:eastAsia="zh-CN" w:bidi="ar-SA"/>
        </w:rPr>
        <w:t>无；</w:t>
      </w:r>
    </w:p>
    <w:p w14:paraId="081ADE4B">
      <w:pPr>
        <w:numPr>
          <w:ilvl w:val="0"/>
          <w:numId w:val="2"/>
        </w:numPr>
        <w:spacing w:line="590" w:lineRule="exact"/>
        <w:ind w:right="-100" w:rightChars="-50" w:firstLine="643" w:firstLineChars="200"/>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落实年度政务公开工作要点情况</w:t>
      </w:r>
    </w:p>
    <w:p w14:paraId="47CC7C54">
      <w:pPr>
        <w:numPr>
          <w:numId w:val="0"/>
        </w:numPr>
        <w:spacing w:line="590" w:lineRule="exact"/>
        <w:ind w:right="-100" w:rightChars="-50" w:firstLine="643" w:firstLineChars="200"/>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曲阜市退役军人事务局严格落实上级年度政务公开工作要点，规范政府信息公开目录，及时调整公开内容，不断拓宽公开渠道、创新公开形式、丰富公开内容，较好完成2024年度政府信息公开工作。</w:t>
      </w:r>
    </w:p>
    <w:p w14:paraId="7F1D9CB4">
      <w:pPr>
        <w:numPr>
          <w:numId w:val="0"/>
        </w:numPr>
        <w:spacing w:line="590" w:lineRule="exact"/>
        <w:ind w:right="-100" w:rightChars="-50" w:firstLine="643" w:firstLineChars="200"/>
        <w:rPr>
          <w:rFonts w:hint="eastAsia" w:ascii="Times New Roman" w:hAnsi="Times New Roman" w:eastAsia="方正仿宋简体" w:cs="Times New Roman"/>
          <w:b/>
          <w:color w:val="000000"/>
          <w:kern w:val="0"/>
          <w:sz w:val="32"/>
          <w:szCs w:val="32"/>
          <w:lang w:val="en-US" w:eastAsia="zh-CN" w:bidi="ar-SA"/>
        </w:rPr>
      </w:pPr>
      <w:r>
        <w:rPr>
          <w:rFonts w:hint="eastAsia" w:eastAsia="方正仿宋简体" w:cs="Times New Roman"/>
          <w:b/>
          <w:color w:val="000000"/>
          <w:kern w:val="0"/>
          <w:sz w:val="32"/>
          <w:szCs w:val="32"/>
          <w:lang w:val="en-US" w:eastAsia="zh-CN" w:bidi="ar-SA"/>
        </w:rPr>
        <w:t>（三）</w:t>
      </w:r>
      <w:r>
        <w:rPr>
          <w:rFonts w:hint="eastAsia" w:ascii="Times New Roman" w:hAnsi="Times New Roman" w:eastAsia="方正仿宋简体" w:cs="Times New Roman"/>
          <w:b/>
          <w:color w:val="000000"/>
          <w:kern w:val="0"/>
          <w:sz w:val="32"/>
          <w:szCs w:val="32"/>
          <w:lang w:val="en-US" w:eastAsia="zh-CN" w:bidi="ar-SA"/>
        </w:rPr>
        <w:t>人大代表建议和政协提案办理结果公开情况</w:t>
      </w:r>
    </w:p>
    <w:p w14:paraId="13134AFA">
      <w:pPr>
        <w:numPr>
          <w:ilvl w:val="0"/>
          <w:numId w:val="0"/>
        </w:numPr>
        <w:spacing w:line="590" w:lineRule="exact"/>
        <w:ind w:leftChars="200" w:right="-100" w:rightChars="-50" w:firstLine="321" w:firstLineChars="100"/>
        <w:rPr>
          <w:rFonts w:hint="default" w:ascii="Times New Roman" w:hAnsi="Times New Roman" w:eastAsia="方正仿宋简体" w:cs="Times New Roman"/>
          <w:b/>
          <w:color w:val="000000"/>
          <w:kern w:val="0"/>
          <w:sz w:val="32"/>
          <w:szCs w:val="32"/>
          <w:lang w:val="en-US" w:eastAsia="zh-CN" w:bidi="ar-SA"/>
        </w:rPr>
      </w:pPr>
      <w:r>
        <w:rPr>
          <w:rFonts w:hint="eastAsia" w:eastAsia="方正仿宋简体" w:cs="Times New Roman"/>
          <w:b/>
          <w:color w:val="000000"/>
          <w:kern w:val="0"/>
          <w:sz w:val="32"/>
          <w:szCs w:val="32"/>
          <w:lang w:val="en-US" w:eastAsia="zh-CN" w:bidi="ar-SA"/>
        </w:rPr>
        <w:t>本年度未收到</w:t>
      </w:r>
      <w:r>
        <w:rPr>
          <w:rFonts w:hint="eastAsia" w:ascii="Times New Roman" w:hAnsi="Times New Roman" w:eastAsia="方正仿宋简体" w:cs="Times New Roman"/>
          <w:b/>
          <w:color w:val="000000"/>
          <w:kern w:val="0"/>
          <w:sz w:val="32"/>
          <w:szCs w:val="32"/>
          <w:lang w:val="en-US" w:eastAsia="zh-CN" w:bidi="ar-SA"/>
        </w:rPr>
        <w:t>人大代表建议和政协提案</w:t>
      </w:r>
      <w:r>
        <w:rPr>
          <w:rFonts w:hint="eastAsia" w:eastAsia="方正仿宋简体" w:cs="Times New Roman"/>
          <w:b/>
          <w:color w:val="000000"/>
          <w:kern w:val="0"/>
          <w:sz w:val="32"/>
          <w:szCs w:val="32"/>
          <w:lang w:val="en-US" w:eastAsia="zh-CN" w:bidi="ar-SA"/>
        </w:rPr>
        <w:t>；</w:t>
      </w:r>
    </w:p>
    <w:p w14:paraId="52934E0C">
      <w:pPr>
        <w:numPr>
          <w:numId w:val="0"/>
        </w:numPr>
        <w:spacing w:line="590" w:lineRule="exact"/>
        <w:ind w:right="-100" w:rightChars="-50" w:firstLine="643" w:firstLineChars="200"/>
        <w:rPr>
          <w:rFonts w:hint="eastAsia" w:ascii="Times New Roman" w:hAnsi="Times New Roman" w:eastAsia="方正仿宋简体" w:cs="Times New Roman"/>
          <w:b/>
          <w:color w:val="000000"/>
          <w:kern w:val="0"/>
          <w:sz w:val="32"/>
          <w:szCs w:val="32"/>
          <w:lang w:val="en-US" w:eastAsia="zh-CN" w:bidi="ar-SA"/>
        </w:rPr>
      </w:pPr>
      <w:r>
        <w:rPr>
          <w:rFonts w:hint="eastAsia" w:eastAsia="方正仿宋简体" w:cs="Times New Roman"/>
          <w:b/>
          <w:color w:val="000000"/>
          <w:kern w:val="0"/>
          <w:sz w:val="32"/>
          <w:szCs w:val="32"/>
          <w:lang w:val="en-US" w:eastAsia="zh-CN" w:bidi="ar-SA"/>
        </w:rPr>
        <w:t>（四）</w:t>
      </w:r>
      <w:r>
        <w:rPr>
          <w:rFonts w:hint="eastAsia" w:ascii="Times New Roman" w:hAnsi="Times New Roman" w:eastAsia="方正仿宋简体" w:cs="Times New Roman"/>
          <w:b/>
          <w:color w:val="000000"/>
          <w:kern w:val="0"/>
          <w:sz w:val="32"/>
          <w:szCs w:val="32"/>
          <w:lang w:val="en-US" w:eastAsia="zh-CN" w:bidi="ar-SA"/>
        </w:rPr>
        <w:t>本年度政务公开工作创新情况</w:t>
      </w:r>
    </w:p>
    <w:p w14:paraId="40CABFC4">
      <w:pPr>
        <w:numPr>
          <w:ilvl w:val="0"/>
          <w:numId w:val="0"/>
        </w:numPr>
        <w:spacing w:line="590" w:lineRule="exact"/>
        <w:ind w:right="-100" w:rightChars="-50" w:firstLine="643" w:firstLineChars="200"/>
        <w:rPr>
          <w:rFonts w:hint="eastAsia" w:ascii="Times New Roman" w:hAnsi="Times New Roman" w:eastAsia="方正仿宋简体" w:cs="Times New Roman"/>
          <w:b/>
          <w:color w:val="000000"/>
          <w:kern w:val="0"/>
          <w:sz w:val="32"/>
          <w:szCs w:val="32"/>
          <w:lang w:val="en-US" w:eastAsia="zh-CN" w:bidi="ar-SA"/>
        </w:rPr>
      </w:pPr>
      <w:r>
        <w:rPr>
          <w:rFonts w:hint="eastAsia" w:eastAsia="方正仿宋简体" w:cs="Times New Roman"/>
          <w:b/>
          <w:color w:val="000000"/>
          <w:kern w:val="0"/>
          <w:sz w:val="32"/>
          <w:szCs w:val="32"/>
          <w:lang w:val="en-US" w:eastAsia="zh-CN" w:bidi="ar-SA"/>
        </w:rPr>
        <w:t>无；</w:t>
      </w:r>
    </w:p>
    <w:p w14:paraId="53264356">
      <w:pPr>
        <w:numPr>
          <w:numId w:val="0"/>
        </w:numPr>
        <w:spacing w:line="590" w:lineRule="exact"/>
        <w:ind w:right="-100" w:rightChars="-50" w:firstLine="643" w:firstLineChars="200"/>
        <w:rPr>
          <w:rFonts w:hint="eastAsia" w:ascii="Times New Roman" w:hAnsi="Times New Roman" w:eastAsia="方正仿宋简体" w:cs="Times New Roman"/>
          <w:b/>
          <w:color w:val="000000"/>
          <w:kern w:val="0"/>
          <w:sz w:val="32"/>
          <w:szCs w:val="32"/>
          <w:lang w:val="en-US" w:eastAsia="zh-CN" w:bidi="ar-SA"/>
        </w:rPr>
      </w:pPr>
      <w:r>
        <w:rPr>
          <w:rFonts w:hint="eastAsia" w:eastAsia="方正仿宋简体" w:cs="Times New Roman"/>
          <w:b/>
          <w:color w:val="000000"/>
          <w:kern w:val="0"/>
          <w:sz w:val="32"/>
          <w:szCs w:val="32"/>
          <w:lang w:val="en-US" w:eastAsia="zh-CN" w:bidi="ar-SA"/>
        </w:rPr>
        <w:t>（五）</w:t>
      </w:r>
      <w:r>
        <w:rPr>
          <w:rFonts w:hint="eastAsia" w:ascii="Times New Roman" w:hAnsi="Times New Roman" w:eastAsia="方正仿宋简体" w:cs="Times New Roman"/>
          <w:b/>
          <w:color w:val="000000"/>
          <w:kern w:val="0"/>
          <w:sz w:val="32"/>
          <w:szCs w:val="32"/>
          <w:lang w:val="en-US" w:eastAsia="zh-CN" w:bidi="ar-SA"/>
        </w:rPr>
        <w:t>本年度信息公开工作年度报告数据统计需要说明的事项</w:t>
      </w:r>
    </w:p>
    <w:p w14:paraId="4361F642">
      <w:pPr>
        <w:numPr>
          <w:ilvl w:val="0"/>
          <w:numId w:val="0"/>
        </w:numPr>
        <w:spacing w:line="590" w:lineRule="exact"/>
        <w:ind w:right="-100" w:rightChars="-50" w:firstLine="643" w:firstLineChars="200"/>
        <w:rPr>
          <w:rFonts w:hint="eastAsia" w:ascii="Times New Roman" w:hAnsi="Times New Roman" w:eastAsia="方正仿宋简体" w:cs="Times New Roman"/>
          <w:b/>
          <w:color w:val="000000"/>
          <w:kern w:val="0"/>
          <w:sz w:val="32"/>
          <w:szCs w:val="32"/>
          <w:lang w:val="en-US" w:eastAsia="zh-CN" w:bidi="ar-SA"/>
        </w:rPr>
      </w:pPr>
      <w:r>
        <w:rPr>
          <w:rFonts w:hint="eastAsia" w:eastAsia="方正仿宋简体" w:cs="Times New Roman"/>
          <w:b/>
          <w:color w:val="000000"/>
          <w:kern w:val="0"/>
          <w:sz w:val="32"/>
          <w:szCs w:val="32"/>
          <w:lang w:val="en-US" w:eastAsia="zh-CN" w:bidi="ar-SA"/>
        </w:rPr>
        <w:t>无；</w:t>
      </w:r>
    </w:p>
    <w:p w14:paraId="3942A7ED">
      <w:pPr>
        <w:numPr>
          <w:numId w:val="0"/>
        </w:numPr>
        <w:spacing w:line="590" w:lineRule="exact"/>
        <w:ind w:right="-100" w:rightChars="-50" w:firstLine="643" w:firstLineChars="200"/>
        <w:rPr>
          <w:rFonts w:hint="eastAsia" w:ascii="Times New Roman" w:hAnsi="Times New Roman" w:eastAsia="方正仿宋简体" w:cs="Times New Roman"/>
          <w:b/>
          <w:color w:val="000000"/>
          <w:kern w:val="0"/>
          <w:sz w:val="32"/>
          <w:szCs w:val="32"/>
          <w:lang w:val="en-US" w:eastAsia="zh-CN" w:bidi="ar-SA"/>
        </w:rPr>
      </w:pPr>
      <w:r>
        <w:rPr>
          <w:rFonts w:hint="eastAsia" w:eastAsia="方正仿宋简体" w:cs="Times New Roman"/>
          <w:b/>
          <w:color w:val="000000"/>
          <w:kern w:val="0"/>
          <w:sz w:val="32"/>
          <w:szCs w:val="32"/>
          <w:lang w:val="en-US" w:eastAsia="zh-CN" w:bidi="ar-SA"/>
        </w:rPr>
        <w:t>（六）</w:t>
      </w:r>
      <w:r>
        <w:rPr>
          <w:rFonts w:hint="eastAsia" w:ascii="Times New Roman" w:hAnsi="Times New Roman" w:eastAsia="方正仿宋简体" w:cs="Times New Roman"/>
          <w:b/>
          <w:color w:val="000000"/>
          <w:kern w:val="0"/>
          <w:sz w:val="32"/>
          <w:szCs w:val="32"/>
          <w:lang w:val="en-US" w:eastAsia="zh-CN" w:bidi="ar-SA"/>
        </w:rPr>
        <w:t>需要报告的其他事项</w:t>
      </w:r>
    </w:p>
    <w:p w14:paraId="75B6EF80">
      <w:pPr>
        <w:numPr>
          <w:ilvl w:val="0"/>
          <w:numId w:val="0"/>
        </w:numPr>
        <w:spacing w:line="590" w:lineRule="exact"/>
        <w:ind w:leftChars="200" w:right="-100" w:rightChars="-50" w:firstLine="321" w:firstLineChars="100"/>
        <w:rPr>
          <w:rFonts w:hint="eastAsia" w:ascii="Times New Roman" w:hAnsi="Times New Roman" w:eastAsia="方正仿宋简体" w:cs="Times New Roman"/>
          <w:b/>
          <w:color w:val="000000"/>
          <w:kern w:val="0"/>
          <w:sz w:val="32"/>
          <w:szCs w:val="32"/>
          <w:lang w:val="en-US" w:eastAsia="zh-CN" w:bidi="ar-SA"/>
        </w:rPr>
      </w:pPr>
      <w:r>
        <w:rPr>
          <w:rFonts w:hint="eastAsia" w:eastAsia="方正仿宋简体" w:cs="Times New Roman"/>
          <w:b/>
          <w:color w:val="000000"/>
          <w:kern w:val="0"/>
          <w:sz w:val="32"/>
          <w:szCs w:val="32"/>
          <w:lang w:val="en-US" w:eastAsia="zh-CN" w:bidi="ar-SA"/>
        </w:rPr>
        <w:t>无；</w:t>
      </w:r>
    </w:p>
    <w:p w14:paraId="483F6E0B">
      <w:pPr>
        <w:numPr>
          <w:numId w:val="0"/>
        </w:numPr>
        <w:spacing w:line="590" w:lineRule="exact"/>
        <w:ind w:right="-100" w:rightChars="-50" w:firstLine="643" w:firstLineChars="200"/>
        <w:rPr>
          <w:rFonts w:hint="eastAsia" w:eastAsia="方正仿宋简体" w:cs="Times New Roman"/>
          <w:b/>
          <w:color w:val="000000"/>
          <w:kern w:val="0"/>
          <w:sz w:val="32"/>
          <w:szCs w:val="32"/>
          <w:lang w:val="en-US" w:eastAsia="zh-CN" w:bidi="ar-SA"/>
        </w:rPr>
      </w:pPr>
      <w:r>
        <w:rPr>
          <w:rFonts w:hint="eastAsia" w:eastAsia="方正仿宋简体" w:cs="Times New Roman"/>
          <w:b/>
          <w:color w:val="000000"/>
          <w:kern w:val="0"/>
          <w:sz w:val="32"/>
          <w:szCs w:val="32"/>
          <w:lang w:val="en-US" w:eastAsia="zh-CN" w:bidi="ar-SA"/>
        </w:rPr>
        <w:t>（七）</w:t>
      </w:r>
      <w:r>
        <w:rPr>
          <w:rFonts w:hint="eastAsia" w:ascii="Times New Roman" w:hAnsi="Times New Roman" w:eastAsia="方正仿宋简体" w:cs="Times New Roman"/>
          <w:b/>
          <w:color w:val="000000"/>
          <w:kern w:val="0"/>
          <w:sz w:val="32"/>
          <w:szCs w:val="32"/>
          <w:lang w:val="en-US" w:eastAsia="zh-CN" w:bidi="ar-SA"/>
        </w:rPr>
        <w:t>其他有关文件专门要求通过政府信息公开工作年度报告予以报告的事项</w:t>
      </w:r>
    </w:p>
    <w:p w14:paraId="0E83A32B">
      <w:pPr>
        <w:numPr>
          <w:ilvl w:val="0"/>
          <w:numId w:val="0"/>
        </w:numPr>
        <w:spacing w:line="590" w:lineRule="exact"/>
        <w:ind w:right="-100" w:rightChars="-50" w:firstLine="643" w:firstLineChars="200"/>
        <w:rPr>
          <w:rFonts w:hint="eastAsia" w:eastAsia="方正仿宋简体" w:cs="Times New Roman"/>
          <w:b/>
          <w:color w:val="000000"/>
          <w:kern w:val="0"/>
          <w:sz w:val="32"/>
          <w:szCs w:val="32"/>
          <w:lang w:val="en-US" w:eastAsia="zh-CN" w:bidi="ar-SA"/>
        </w:rPr>
      </w:pPr>
      <w:r>
        <w:rPr>
          <w:rFonts w:hint="eastAsia" w:eastAsia="方正仿宋简体" w:cs="Times New Roman"/>
          <w:b/>
          <w:color w:val="000000"/>
          <w:kern w:val="0"/>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A6686A-B657-42B3-8425-2442865F39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F8B0888-567A-4709-ACBF-13E9C5EB257D}"/>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14D52E28-782F-449C-83BA-B5E4F7EBCD72}"/>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BA74E059-4F65-483F-A982-2A75EDB0E2DB}"/>
  </w:font>
  <w:font w:name="楷体_GB2312">
    <w:panose1 w:val="02010609030101010101"/>
    <w:charset w:val="86"/>
    <w:family w:val="modern"/>
    <w:pitch w:val="default"/>
    <w:sig w:usb0="00000001" w:usb1="080E0000" w:usb2="00000000" w:usb3="00000000" w:csb0="00040000" w:csb1="00000000"/>
    <w:embedRegular r:id="rId5" w:fontKey="{29576963-5AA7-4457-BF76-519A1305C328}"/>
  </w:font>
  <w:font w:name="楷体">
    <w:panose1 w:val="02010609060101010101"/>
    <w:charset w:val="86"/>
    <w:family w:val="modern"/>
    <w:pitch w:val="default"/>
    <w:sig w:usb0="800002BF" w:usb1="38CF7CFA" w:usb2="00000016" w:usb3="00000000" w:csb0="00040001" w:csb1="00000000"/>
    <w:embedRegular r:id="rId6" w:fontKey="{C6C7F7B5-D78E-4067-8C20-89A50E15CC3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40AD11"/>
    <w:multiLevelType w:val="singleLevel"/>
    <w:tmpl w:val="F040AD11"/>
    <w:lvl w:ilvl="0" w:tentative="0">
      <w:start w:val="2"/>
      <w:numFmt w:val="chineseCounting"/>
      <w:suff w:val="nothing"/>
      <w:lvlText w:val="（%1）"/>
      <w:lvlJc w:val="left"/>
      <w:rPr>
        <w:rFonts w:hint="eastAsia"/>
      </w:rPr>
    </w:lvl>
  </w:abstractNum>
  <w:abstractNum w:abstractNumId="1">
    <w:nsid w:val="F574464E"/>
    <w:multiLevelType w:val="singleLevel"/>
    <w:tmpl w:val="F574464E"/>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C0C21"/>
    <w:rsid w:val="35F66D0C"/>
    <w:rsid w:val="42FC0C21"/>
    <w:rsid w:val="46B0590B"/>
    <w:rsid w:val="46EF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发布新闻量</a:t>
            </a:r>
          </a:p>
        </c:rich>
      </c:tx>
      <c:layout/>
      <c:overlay val="0"/>
      <c:spPr>
        <a:noFill/>
        <a:ln>
          <a:noFill/>
        </a:ln>
        <a:effectLst/>
      </c:spPr>
    </c:title>
    <c:autoTitleDeleted val="0"/>
    <c:plotArea>
      <c:layout/>
      <c:pieChart>
        <c:varyColors val="1"/>
        <c:ser>
          <c:idx val="0"/>
          <c:order val="0"/>
          <c:tx>
            <c:strRef>
              <c:f>Sheet1!$B$1</c:f>
              <c:strCache>
                <c:ptCount val="1"/>
                <c:pt idx="0">
                  <c:v>发布量</c:v>
                </c:pt>
              </c:strCache>
            </c:strRef>
          </c:tx>
          <c:spPr>
            <a:ln w="76200" cmpd="thickThin">
              <a:solidFill>
                <a:schemeClr val="bg1"/>
              </a:solidFill>
            </a:ln>
            <a:sp3d contourW="76200"/>
          </c:spPr>
          <c:explosion val="0"/>
          <c:dPt>
            <c:idx val="0"/>
            <c:bubble3D val="0"/>
            <c:spPr>
              <a:solidFill>
                <a:schemeClr val="accent1"/>
              </a:solidFill>
              <a:ln w="76200" cmpd="thickThin">
                <a:solidFill>
                  <a:schemeClr val="bg1"/>
                </a:solidFill>
              </a:ln>
              <a:effectLst/>
              <a:sp3d contourW="76200"/>
            </c:spPr>
          </c:dPt>
          <c:dPt>
            <c:idx val="1"/>
            <c:bubble3D val="0"/>
            <c:spPr>
              <a:solidFill>
                <a:schemeClr val="accent2"/>
              </a:solidFill>
              <a:ln w="76200" cmpd="thickThin">
                <a:solidFill>
                  <a:schemeClr val="bg1"/>
                </a:solidFill>
              </a:ln>
              <a:effectLst/>
              <a:sp3d contourW="76200"/>
            </c:spPr>
          </c:dPt>
          <c:dPt>
            <c:idx val="2"/>
            <c:bubble3D val="0"/>
            <c:spPr>
              <a:solidFill>
                <a:schemeClr val="accent3"/>
              </a:solidFill>
              <a:ln w="76200" cmpd="thickThin">
                <a:solidFill>
                  <a:schemeClr val="bg1"/>
                </a:solidFill>
              </a:ln>
              <a:effectLst/>
              <a:sp3d contourW="76200"/>
            </c:spPr>
          </c:dPt>
          <c:dPt>
            <c:idx val="3"/>
            <c:bubble3D val="0"/>
            <c:spPr>
              <a:solidFill>
                <a:schemeClr val="accent4"/>
              </a:solidFill>
              <a:ln w="76200" cmpd="thickThin">
                <a:solidFill>
                  <a:schemeClr val="bg1"/>
                </a:solidFill>
              </a:ln>
              <a:effectLst/>
              <a:sp3d contourW="76200"/>
            </c:spPr>
          </c:dPt>
          <c:dPt>
            <c:idx val="4"/>
            <c:bubble3D val="0"/>
            <c:spPr>
              <a:solidFill>
                <a:schemeClr val="accent5"/>
              </a:solidFill>
              <a:ln w="76200" cmpd="thickThin">
                <a:solidFill>
                  <a:schemeClr val="bg1"/>
                </a:solidFill>
              </a:ln>
              <a:effectLst/>
              <a:sp3d contourW="76200"/>
            </c:spPr>
          </c:dPt>
          <c:dPt>
            <c:idx val="5"/>
            <c:bubble3D val="0"/>
            <c:spPr>
              <a:solidFill>
                <a:schemeClr val="accent6"/>
              </a:solidFill>
              <a:ln w="76200" cmpd="thickThin">
                <a:solidFill>
                  <a:schemeClr val="bg1"/>
                </a:solidFill>
              </a:ln>
              <a:effectLst/>
              <a:sp3d contourW="76200"/>
            </c:spPr>
          </c:dPt>
          <c:dPt>
            <c:idx val="6"/>
            <c:bubble3D val="0"/>
            <c:spPr>
              <a:solidFill>
                <a:schemeClr val="accent1">
                  <a:lumMod val="60000"/>
                </a:schemeClr>
              </a:solidFill>
              <a:ln w="76200" cmpd="thickThin">
                <a:solidFill>
                  <a:schemeClr val="bg1"/>
                </a:solidFill>
              </a:ln>
              <a:effectLst/>
              <a:sp3d contourW="76200"/>
            </c:spPr>
          </c:dPt>
          <c:dPt>
            <c:idx val="7"/>
            <c:bubble3D val="0"/>
            <c:spPr>
              <a:solidFill>
                <a:schemeClr val="accent2">
                  <a:lumMod val="60000"/>
                </a:schemeClr>
              </a:solidFill>
              <a:ln w="76200" cmpd="thickThin">
                <a:solidFill>
                  <a:schemeClr val="bg1"/>
                </a:solidFill>
              </a:ln>
              <a:effectLst/>
              <a:sp3d contourW="76200"/>
            </c:spPr>
          </c:dPt>
          <c:dPt>
            <c:idx val="8"/>
            <c:bubble3D val="0"/>
            <c:spPr>
              <a:solidFill>
                <a:schemeClr val="accent3">
                  <a:lumMod val="60000"/>
                </a:schemeClr>
              </a:solidFill>
              <a:ln w="76200" cmpd="thickThin">
                <a:solidFill>
                  <a:schemeClr val="bg1"/>
                </a:solidFill>
              </a:ln>
              <a:effectLst/>
              <a:sp3d contourW="76200"/>
            </c:spPr>
          </c:dPt>
          <c:dPt>
            <c:idx val="9"/>
            <c:bubble3D val="0"/>
            <c:spPr>
              <a:solidFill>
                <a:schemeClr val="accent4">
                  <a:lumMod val="60000"/>
                </a:schemeClr>
              </a:solidFill>
              <a:ln w="76200" cmpd="thickThin">
                <a:solidFill>
                  <a:schemeClr val="bg1"/>
                </a:solidFill>
              </a:ln>
              <a:effectLst/>
              <a:sp3d contourW="76200"/>
            </c:spPr>
          </c:dPt>
          <c:dPt>
            <c:idx val="10"/>
            <c:bubble3D val="0"/>
            <c:spPr>
              <a:solidFill>
                <a:schemeClr val="accent5">
                  <a:lumMod val="60000"/>
                </a:schemeClr>
              </a:solidFill>
              <a:ln w="76200" cmpd="thickThin">
                <a:solidFill>
                  <a:schemeClr val="bg1"/>
                </a:solidFill>
              </a:ln>
              <a:effectLst/>
              <a:sp3d contourW="76200"/>
            </c:spPr>
          </c:dPt>
          <c:dPt>
            <c:idx val="11"/>
            <c:bubble3D val="0"/>
            <c:spPr>
              <a:solidFill>
                <a:schemeClr val="accent6">
                  <a:lumMod val="60000"/>
                </a:schemeClr>
              </a:solidFill>
              <a:ln w="76200" cmpd="thickThin">
                <a:solidFill>
                  <a:schemeClr val="bg1"/>
                </a:solidFill>
              </a:ln>
              <a:effectLst/>
              <a:sp3d contourW="76200"/>
            </c:spPr>
          </c:dPt>
          <c:dPt>
            <c:idx val="12"/>
            <c:bubble3D val="0"/>
            <c:spPr>
              <a:solidFill>
                <a:schemeClr val="accent1">
                  <a:lumMod val="80000"/>
                  <a:lumOff val="20000"/>
                </a:schemeClr>
              </a:solidFill>
              <a:ln w="76200" cmpd="thickThin">
                <a:solidFill>
                  <a:schemeClr val="bg1"/>
                </a:solidFill>
              </a:ln>
              <a:effectLst/>
              <a:sp3d contourW="76200"/>
            </c:spPr>
          </c:dPt>
          <c:dPt>
            <c:idx val="13"/>
            <c:bubble3D val="0"/>
            <c:spPr>
              <a:solidFill>
                <a:schemeClr val="accent2">
                  <a:lumMod val="80000"/>
                  <a:lumOff val="20000"/>
                </a:schemeClr>
              </a:solidFill>
              <a:ln w="76200" cmpd="thickThin">
                <a:solidFill>
                  <a:schemeClr val="bg1"/>
                </a:solidFill>
              </a:ln>
              <a:effectLst/>
              <a:sp3d contourW="76200"/>
            </c:spPr>
          </c:dPt>
          <c:dLbls>
            <c:dLbl>
              <c:idx val="0"/>
              <c:layout>
                <c:manualLayout>
                  <c:x val="-0.137848444026345"/>
                  <c:y val="0.0172831410902214"/>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官网</c:v>
                </c:pt>
                <c:pt idx="1">
                  <c:v>微信公众号</c:v>
                </c:pt>
              </c:strCache>
            </c:strRef>
          </c:cat>
          <c:val>
            <c:numRef>
              <c:f>Sheet1!$B$2:$B$15</c:f>
              <c:numCache>
                <c:formatCode>General</c:formatCode>
                <c:ptCount val="14"/>
                <c:pt idx="0">
                  <c:v>107</c:v>
                </c:pt>
                <c:pt idx="1">
                  <c:v>150</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Pt>
            <c:idx val="15"/>
            <c:bubble3D val="0"/>
            <c:spPr>
              <a:solidFill>
                <a:schemeClr val="accent4">
                  <a:lumMod val="80000"/>
                  <a:lumOff val="20000"/>
                </a:schemeClr>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官网</c:v>
                </c:pt>
                <c:pt idx="1">
                  <c:v>微信公众号</c:v>
                </c:pt>
              </c:strCache>
            </c:strRef>
          </c:cat>
          <c:val>
            <c:numRef>
              <c:f>Sheet1!$C$2:$C$17</c:f>
              <c:numCache>
                <c:formatCode>General</c:formatCode>
                <c:ptCount val="16"/>
              </c:numCache>
            </c:numRef>
          </c:val>
        </c:ser>
        <c:ser>
          <c:idx val="2"/>
          <c:order val="2"/>
          <c:tx>
            <c:strRef>
              <c:f>Sheet1!$D$1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Pt>
            <c:idx val="15"/>
            <c:bubble3D val="0"/>
            <c:spPr>
              <a:solidFill>
                <a:schemeClr val="accent4">
                  <a:lumMod val="80000"/>
                  <a:lumOff val="20000"/>
                </a:schemeClr>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官网</c:v>
                </c:pt>
                <c:pt idx="1">
                  <c:v>微信公众号</c:v>
                </c:pt>
              </c:strCache>
            </c:strRef>
          </c:cat>
          <c:val>
            <c:numRef>
              <c:f>Sheet1!$D$2:$D$17</c:f>
              <c:numCache>
                <c:formatCode>General</c:formatCode>
                <c:ptCount val="16"/>
              </c:numCache>
            </c:numRef>
          </c:val>
        </c:ser>
        <c:ser>
          <c:idx val="3"/>
          <c:order val="3"/>
          <c:tx>
            <c:strRef>
              <c:f>Sheet1!$E$1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Pt>
            <c:idx val="15"/>
            <c:bubble3D val="0"/>
            <c:spPr>
              <a:solidFill>
                <a:schemeClr val="accent4">
                  <a:lumMod val="80000"/>
                  <a:lumOff val="20000"/>
                </a:schemeClr>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官网</c:v>
                </c:pt>
                <c:pt idx="1">
                  <c:v>微信公众号</c:v>
                </c:pt>
              </c:strCache>
            </c:strRef>
          </c:cat>
          <c:val>
            <c:numRef>
              <c:f>Sheet1!$E$2:$E$17</c:f>
              <c:numCache>
                <c:formatCode>General</c:formatCode>
                <c:ptCount val="16"/>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a2c42311-2577-4311-a5b5-2ceac733468f}"/>
      </c:ext>
    </c:extLst>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51">
    <a:dk1>
      <a:srgbClr val="000000"/>
    </a:dk1>
    <a:lt1>
      <a:srgbClr val="FFFFFF"/>
    </a:lt1>
    <a:dk2>
      <a:srgbClr val="44546A"/>
    </a:dk2>
    <a:lt2>
      <a:srgbClr val="E7E6E6"/>
    </a:lt2>
    <a:accent1>
      <a:srgbClr val="F3734E"/>
    </a:accent1>
    <a:accent2>
      <a:srgbClr val="7E7FC0"/>
    </a:accent2>
    <a:accent3>
      <a:srgbClr val="68C7EB"/>
    </a:accent3>
    <a:accent4>
      <a:srgbClr val="7DCAA5"/>
    </a:accent4>
    <a:accent5>
      <a:srgbClr val="FDCC49"/>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6</Pages>
  <Words>2241</Words>
  <Characters>2312</Characters>
  <Lines>0</Lines>
  <Paragraphs>0</Paragraphs>
  <TotalTime>1</TotalTime>
  <ScaleCrop>false</ScaleCrop>
  <LinksUpToDate>false</LinksUpToDate>
  <CharactersWithSpaces>2312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2025-01-09T05:46:00Z</dcterms:created>
  <dc:creator>胖儿彤</dc:creator>
  <cp:lastModifiedBy>胖儿彤</cp:lastModifiedBy>
  <dcterms:modified xsi:type="dcterms:W3CDTF">2025-01-20T06:55:25Z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3F1D0F11210143E38AFADDC14B7DD555_13</vt:lpwstr>
  </property>
  <property fmtid="{D5CDD505-2E9C-101B-9397-08002B2CF9AE}" pid="4" name="KSOTemplateDocerSaveRecord">
    <vt:lpwstr>eyJoZGlkIjoiNTJmZTI0YzQyZGU5MzBkNWNkYWE1OTU2Mzc3MmNlOGMiLCJ1c2VySWQiOiIzNTQ4NDk5NTQifQ==</vt:lpwstr>
  </property>
</Properties>
</file>