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245BC">
      <w:pPr>
        <w:keepNext w:val="0"/>
        <w:keepLines w:val="0"/>
        <w:pageBreakBefore w:val="0"/>
        <w:kinsoku/>
        <w:overflowPunct/>
        <w:topLinePunct w:val="0"/>
        <w:autoSpaceDE/>
        <w:autoSpaceDN/>
        <w:bidi w:val="0"/>
        <w:adjustRightInd/>
        <w:snapToGrid/>
        <w:spacing w:line="580" w:lineRule="exact"/>
        <w:ind w:right="-96" w:rightChars="-50"/>
        <w:jc w:val="center"/>
        <w:textAlignment w:val="auto"/>
        <w:rPr>
          <w:rFonts w:hint="eastAsia" w:ascii="Times New Roman" w:hAnsi="Times New Roman" w:eastAsia="方正小标宋简体"/>
          <w:b/>
          <w:color w:val="000000" w:themeColor="text1"/>
          <w:sz w:val="44"/>
          <w:szCs w:val="44"/>
          <w:highlight w:val="none"/>
          <w:lang w:val="en-US" w:eastAsia="zh-CN"/>
          <w14:textFill>
            <w14:solidFill>
              <w14:schemeClr w14:val="tx1"/>
            </w14:solidFill>
          </w14:textFill>
        </w:rPr>
      </w:pPr>
      <w:bookmarkStart w:id="11" w:name="_GoBack"/>
      <w:bookmarkEnd w:id="11"/>
    </w:p>
    <w:p w14:paraId="42566684">
      <w:pPr>
        <w:keepNext w:val="0"/>
        <w:keepLines w:val="0"/>
        <w:pageBreakBefore w:val="0"/>
        <w:kinsoku/>
        <w:overflowPunct/>
        <w:topLinePunct w:val="0"/>
        <w:autoSpaceDE/>
        <w:autoSpaceDN/>
        <w:bidi w:val="0"/>
        <w:adjustRightInd/>
        <w:snapToGrid/>
        <w:spacing w:line="580" w:lineRule="exact"/>
        <w:ind w:right="-96" w:rightChars="-50"/>
        <w:jc w:val="center"/>
        <w:textAlignment w:val="auto"/>
        <w:rPr>
          <w:rFonts w:hint="default" w:ascii="Times New Roman" w:hAnsi="Times New Roman" w:eastAsia="方正小标宋简体"/>
          <w:b/>
          <w:color w:val="000000" w:themeColor="text1"/>
          <w:sz w:val="44"/>
          <w:szCs w:val="44"/>
          <w:highlight w:val="none"/>
          <w:lang w:val="en-US" w:eastAsia="zh-CN"/>
          <w14:textFill>
            <w14:solidFill>
              <w14:schemeClr w14:val="tx1"/>
            </w14:solidFill>
          </w14:textFill>
        </w:rPr>
      </w:pPr>
      <w:r>
        <w:rPr>
          <w:rFonts w:hint="eastAsia" w:ascii="Times New Roman" w:hAnsi="Times New Roman" w:eastAsia="方正小标宋简体"/>
          <w:b/>
          <w:color w:val="000000" w:themeColor="text1"/>
          <w:sz w:val="44"/>
          <w:szCs w:val="44"/>
          <w:highlight w:val="none"/>
          <w:lang w:val="en-US" w:eastAsia="zh-CN"/>
          <w14:textFill>
            <w14:solidFill>
              <w14:schemeClr w14:val="tx1"/>
            </w14:solidFill>
          </w14:textFill>
        </w:rPr>
        <w:t>曲阜市人民政府办公室</w:t>
      </w:r>
    </w:p>
    <w:p w14:paraId="48FD9BE7">
      <w:pPr>
        <w:keepNext w:val="0"/>
        <w:keepLines w:val="0"/>
        <w:pageBreakBefore w:val="0"/>
        <w:kinsoku/>
        <w:overflowPunct/>
        <w:topLinePunct w:val="0"/>
        <w:autoSpaceDE/>
        <w:autoSpaceDN/>
        <w:bidi w:val="0"/>
        <w:adjustRightInd/>
        <w:snapToGrid/>
        <w:spacing w:line="580" w:lineRule="exact"/>
        <w:ind w:right="-96" w:rightChars="-50"/>
        <w:jc w:val="center"/>
        <w:textAlignment w:val="auto"/>
        <w:rPr>
          <w:rFonts w:hint="eastAsia" w:ascii="Times New Roman" w:hAnsi="Times New Roman" w:eastAsia="方正小标宋简体"/>
          <w:b/>
          <w:color w:val="000000" w:themeColor="text1"/>
          <w:sz w:val="44"/>
          <w:szCs w:val="44"/>
          <w:highlight w:val="none"/>
          <w14:textFill>
            <w14:solidFill>
              <w14:schemeClr w14:val="tx1"/>
            </w14:solidFill>
          </w14:textFill>
        </w:rPr>
      </w:pPr>
      <w:r>
        <w:rPr>
          <w:rFonts w:hint="eastAsia" w:ascii="Times New Roman" w:hAnsi="Times New Roman" w:eastAsia="方正小标宋简体"/>
          <w:b/>
          <w:color w:val="000000" w:themeColor="text1"/>
          <w:sz w:val="44"/>
          <w:szCs w:val="44"/>
          <w:highlight w:val="none"/>
          <w14:textFill>
            <w14:solidFill>
              <w14:schemeClr w14:val="tx1"/>
            </w14:solidFill>
          </w14:textFill>
        </w:rPr>
        <w:t>202</w:t>
      </w:r>
      <w:r>
        <w:rPr>
          <w:rFonts w:hint="eastAsia" w:ascii="Times New Roman" w:hAnsi="Times New Roman" w:eastAsia="方正小标宋简体"/>
          <w:b/>
          <w:color w:val="000000" w:themeColor="text1"/>
          <w:sz w:val="44"/>
          <w:szCs w:val="44"/>
          <w:highlight w:val="none"/>
          <w:lang w:val="en-US" w:eastAsia="zh-CN"/>
          <w14:textFill>
            <w14:solidFill>
              <w14:schemeClr w14:val="tx1"/>
            </w14:solidFill>
          </w14:textFill>
        </w:rPr>
        <w:t>4</w:t>
      </w:r>
      <w:r>
        <w:rPr>
          <w:rFonts w:hint="eastAsia" w:ascii="Times New Roman" w:hAnsi="Times New Roman" w:eastAsia="方正小标宋简体"/>
          <w:b/>
          <w:color w:val="000000" w:themeColor="text1"/>
          <w:sz w:val="44"/>
          <w:szCs w:val="44"/>
          <w:highlight w:val="none"/>
          <w14:textFill>
            <w14:solidFill>
              <w14:schemeClr w14:val="tx1"/>
            </w14:solidFill>
          </w14:textFill>
        </w:rPr>
        <w:t>年政府信息公开工作年度</w:t>
      </w:r>
    </w:p>
    <w:p w14:paraId="25386E8B">
      <w:pPr>
        <w:keepNext w:val="0"/>
        <w:keepLines w:val="0"/>
        <w:pageBreakBefore w:val="0"/>
        <w:kinsoku/>
        <w:overflowPunct/>
        <w:topLinePunct w:val="0"/>
        <w:autoSpaceDE/>
        <w:autoSpaceDN/>
        <w:bidi w:val="0"/>
        <w:adjustRightInd/>
        <w:snapToGrid/>
        <w:spacing w:line="580" w:lineRule="exact"/>
        <w:ind w:right="-96" w:rightChars="-50"/>
        <w:jc w:val="center"/>
        <w:textAlignment w:val="auto"/>
        <w:rPr>
          <w:rFonts w:ascii="Times New Roman" w:hAnsi="Times New Roman" w:eastAsia="方正小标宋简体"/>
          <w:b/>
          <w:color w:val="000000" w:themeColor="text1"/>
          <w:sz w:val="44"/>
          <w:szCs w:val="44"/>
          <w:highlight w:val="none"/>
          <w14:textFill>
            <w14:solidFill>
              <w14:schemeClr w14:val="tx1"/>
            </w14:solidFill>
          </w14:textFill>
        </w:rPr>
      </w:pPr>
      <w:r>
        <w:rPr>
          <w:rFonts w:hint="eastAsia" w:ascii="Times New Roman" w:hAnsi="Times New Roman" w:eastAsia="方正小标宋简体"/>
          <w:b/>
          <w:color w:val="000000" w:themeColor="text1"/>
          <w:sz w:val="44"/>
          <w:szCs w:val="44"/>
          <w:highlight w:val="none"/>
          <w14:textFill>
            <w14:solidFill>
              <w14:schemeClr w14:val="tx1"/>
            </w14:solidFill>
          </w14:textFill>
        </w:rPr>
        <w:t>报</w:t>
      </w:r>
      <w:r>
        <w:rPr>
          <w:rFonts w:hint="eastAsia" w:ascii="Times New Roman" w:hAnsi="Times New Roman" w:eastAsia="方正小标宋简体"/>
          <w:b/>
          <w:color w:val="000000" w:themeColor="text1"/>
          <w:sz w:val="44"/>
          <w:szCs w:val="44"/>
          <w:highlight w:val="none"/>
          <w:lang w:val="en-US" w:eastAsia="zh-CN"/>
          <w14:textFill>
            <w14:solidFill>
              <w14:schemeClr w14:val="tx1"/>
            </w14:solidFill>
          </w14:textFill>
        </w:rPr>
        <w:t xml:space="preserve">  </w:t>
      </w:r>
      <w:r>
        <w:rPr>
          <w:rFonts w:hint="eastAsia" w:ascii="Times New Roman" w:hAnsi="Times New Roman" w:eastAsia="方正小标宋简体"/>
          <w:b/>
          <w:color w:val="000000" w:themeColor="text1"/>
          <w:sz w:val="44"/>
          <w:szCs w:val="44"/>
          <w:highlight w:val="none"/>
          <w14:textFill>
            <w14:solidFill>
              <w14:schemeClr w14:val="tx1"/>
            </w14:solidFill>
          </w14:textFill>
        </w:rPr>
        <w:t>告</w:t>
      </w:r>
    </w:p>
    <w:p w14:paraId="08AED97C">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ascii="Times New Roman" w:hAnsi="Times New Roman" w:eastAsia="方正仿宋简体"/>
          <w:b/>
          <w:color w:val="000000" w:themeColor="text1"/>
          <w:sz w:val="32"/>
          <w:szCs w:val="32"/>
          <w:highlight w:val="none"/>
          <w14:textFill>
            <w14:solidFill>
              <w14:schemeClr w14:val="tx1"/>
            </w14:solidFill>
          </w14:textFill>
        </w:rPr>
      </w:pPr>
    </w:p>
    <w:p w14:paraId="79CE59F0">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ascii="Times New Roman" w:hAnsi="Times New Roman" w:eastAsia="方正仿宋简体"/>
          <w:b/>
          <w:color w:val="000000" w:themeColor="text1"/>
          <w:sz w:val="32"/>
          <w:szCs w:val="32"/>
          <w:highlight w:val="none"/>
          <w14:textFill>
            <w14:solidFill>
              <w14:schemeClr w14:val="tx1"/>
            </w14:solidFill>
          </w14:textFill>
        </w:rPr>
      </w:pPr>
      <w:r>
        <w:rPr>
          <w:rFonts w:hint="eastAsia" w:ascii="Times New Roman" w:hAnsi="Times New Roman" w:eastAsia="方正仿宋简体"/>
          <w:b/>
          <w:color w:val="000000" w:themeColor="text1"/>
          <w:sz w:val="32"/>
          <w:szCs w:val="32"/>
          <w:highlight w:val="none"/>
          <w14:textFill>
            <w14:solidFill>
              <w14:schemeClr w14:val="tx1"/>
            </w14:solidFill>
          </w14:textFill>
        </w:rPr>
        <w:t>本报告由</w:t>
      </w:r>
      <w:r>
        <w:rPr>
          <w:rFonts w:hint="eastAsia" w:ascii="Times New Roman" w:hAnsi="Times New Roman" w:eastAsia="方正仿宋简体"/>
          <w:b/>
          <w:color w:val="000000" w:themeColor="text1"/>
          <w:sz w:val="32"/>
          <w:szCs w:val="32"/>
          <w:highlight w:val="none"/>
          <w:lang w:val="en-US" w:eastAsia="zh-CN"/>
          <w14:textFill>
            <w14:solidFill>
              <w14:schemeClr w14:val="tx1"/>
            </w14:solidFill>
          </w14:textFill>
        </w:rPr>
        <w:t>曲阜市人民政府办公室</w:t>
      </w:r>
      <w:r>
        <w:rPr>
          <w:rFonts w:hint="eastAsia" w:ascii="Times New Roman" w:hAnsi="Times New Roman" w:eastAsia="方正仿宋简体"/>
          <w:b/>
          <w:color w:val="000000" w:themeColor="text1"/>
          <w:sz w:val="32"/>
          <w:szCs w:val="32"/>
          <w:highlight w:val="none"/>
          <w14:textFill>
            <w14:solidFill>
              <w14:schemeClr w14:val="tx1"/>
            </w14:solidFill>
          </w14:textFill>
        </w:rPr>
        <w:t>按照《中华人民共和国政府信息公开条例》（以下简称《条例》）和《中华人民共和国政府信息公开工作年度报告格式》（国办公开办函〔2021〕30号）要求编制。</w:t>
      </w:r>
    </w:p>
    <w:p w14:paraId="30BA4A3A">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ascii="Times New Roman" w:hAnsi="Times New Roman" w:eastAsia="方正仿宋简体"/>
          <w:b/>
          <w:color w:val="000000" w:themeColor="text1"/>
          <w:sz w:val="32"/>
          <w:szCs w:val="32"/>
          <w:highlight w:val="none"/>
          <w14:textFill>
            <w14:solidFill>
              <w14:schemeClr w14:val="tx1"/>
            </w14:solidFill>
          </w14:textFill>
        </w:rPr>
      </w:pPr>
      <w:r>
        <w:rPr>
          <w:rFonts w:hint="eastAsia" w:ascii="Times New Roman" w:hAnsi="Times New Roman" w:eastAsia="方正仿宋简体"/>
          <w:b/>
          <w:color w:val="000000" w:themeColor="text1"/>
          <w:sz w:val="32"/>
          <w:szCs w:val="32"/>
          <w:highlight w:val="none"/>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14:paraId="51047E89">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ascii="Times New Roman" w:hAnsi="Times New Roman" w:eastAsia="方正仿宋简体"/>
          <w:b/>
          <w:color w:val="000000" w:themeColor="text1"/>
          <w:sz w:val="32"/>
          <w:szCs w:val="32"/>
          <w:highlight w:val="none"/>
          <w14:textFill>
            <w14:solidFill>
              <w14:schemeClr w14:val="tx1"/>
            </w14:solidFill>
          </w14:textFill>
        </w:rPr>
      </w:pPr>
      <w:r>
        <w:rPr>
          <w:rFonts w:hint="eastAsia" w:ascii="Times New Roman" w:hAnsi="Times New Roman" w:eastAsia="方正仿宋简体"/>
          <w:b/>
          <w:color w:val="000000" w:themeColor="text1"/>
          <w:sz w:val="32"/>
          <w:szCs w:val="32"/>
          <w:highlight w:val="none"/>
          <w14:textFill>
            <w14:solidFill>
              <w14:schemeClr w14:val="tx1"/>
            </w14:solidFill>
          </w14:textFill>
        </w:rPr>
        <w:t>本报告所列数据的统计期限自202</w:t>
      </w:r>
      <w:r>
        <w:rPr>
          <w:rFonts w:hint="eastAsia" w:ascii="Times New Roman" w:hAnsi="Times New Roman" w:eastAsia="方正仿宋简体"/>
          <w:b/>
          <w:color w:val="000000" w:themeColor="text1"/>
          <w:sz w:val="32"/>
          <w:szCs w:val="32"/>
          <w:highlight w:val="none"/>
          <w:lang w:val="en-US" w:eastAsia="zh-CN"/>
          <w14:textFill>
            <w14:solidFill>
              <w14:schemeClr w14:val="tx1"/>
            </w14:solidFill>
          </w14:textFill>
        </w:rPr>
        <w:t>4</w:t>
      </w:r>
      <w:r>
        <w:rPr>
          <w:rFonts w:hint="eastAsia" w:ascii="Times New Roman" w:hAnsi="Times New Roman" w:eastAsia="方正仿宋简体"/>
          <w:b/>
          <w:color w:val="000000" w:themeColor="text1"/>
          <w:sz w:val="32"/>
          <w:szCs w:val="32"/>
          <w:highlight w:val="none"/>
          <w14:textFill>
            <w14:solidFill>
              <w14:schemeClr w14:val="tx1"/>
            </w14:solidFill>
          </w14:textFill>
        </w:rPr>
        <w:t>年1月1日起至202</w:t>
      </w:r>
      <w:r>
        <w:rPr>
          <w:rFonts w:hint="eastAsia" w:ascii="Times New Roman" w:hAnsi="Times New Roman" w:eastAsia="方正仿宋简体"/>
          <w:b/>
          <w:color w:val="000000" w:themeColor="text1"/>
          <w:sz w:val="32"/>
          <w:szCs w:val="32"/>
          <w:highlight w:val="none"/>
          <w:lang w:val="en-US" w:eastAsia="zh-CN"/>
          <w14:textFill>
            <w14:solidFill>
              <w14:schemeClr w14:val="tx1"/>
            </w14:solidFill>
          </w14:textFill>
        </w:rPr>
        <w:t>4</w:t>
      </w:r>
      <w:r>
        <w:rPr>
          <w:rFonts w:hint="eastAsia" w:ascii="Times New Roman" w:hAnsi="Times New Roman" w:eastAsia="方正仿宋简体"/>
          <w:b/>
          <w:color w:val="000000" w:themeColor="text1"/>
          <w:sz w:val="32"/>
          <w:szCs w:val="32"/>
          <w:highlight w:val="none"/>
          <w14:textFill>
            <w14:solidFill>
              <w14:schemeClr w14:val="tx1"/>
            </w14:solidFill>
          </w14:textFill>
        </w:rPr>
        <w:t>年12月31日止。本报告电子版可在“中国·</w:t>
      </w:r>
      <w:r>
        <w:rPr>
          <w:rFonts w:hint="eastAsia" w:ascii="Times New Roman" w:hAnsi="Times New Roman" w:eastAsia="方正仿宋简体"/>
          <w:b/>
          <w:color w:val="000000" w:themeColor="text1"/>
          <w:sz w:val="32"/>
          <w:szCs w:val="32"/>
          <w:highlight w:val="none"/>
          <w:lang w:val="en-US" w:eastAsia="zh-CN"/>
          <w14:textFill>
            <w14:solidFill>
              <w14:schemeClr w14:val="tx1"/>
            </w14:solidFill>
          </w14:textFill>
        </w:rPr>
        <w:t>曲阜</w:t>
      </w:r>
      <w:r>
        <w:rPr>
          <w:rFonts w:hint="eastAsia" w:ascii="Times New Roman" w:hAnsi="Times New Roman" w:eastAsia="方正仿宋简体"/>
          <w:b/>
          <w:color w:val="000000" w:themeColor="text1"/>
          <w:sz w:val="32"/>
          <w:szCs w:val="32"/>
          <w:highlight w:val="none"/>
          <w14:textFill>
            <w14:solidFill>
              <w14:schemeClr w14:val="tx1"/>
            </w14:solidFill>
          </w14:textFill>
        </w:rPr>
        <w:t>”政府门户网站（</w:t>
      </w:r>
      <w:r>
        <w:rPr>
          <w:rFonts w:hint="eastAsia" w:ascii="Times New Roman" w:hAnsi="Times New Roman" w:eastAsia="方正仿宋简体"/>
          <w:b/>
          <w:color w:val="000000" w:themeColor="text1"/>
          <w:sz w:val="32"/>
          <w:szCs w:val="32"/>
          <w:highlight w:val="none"/>
          <w:lang w:val="en-US" w:eastAsia="zh-CN"/>
          <w14:textFill>
            <w14:solidFill>
              <w14:schemeClr w14:val="tx1"/>
            </w14:solidFill>
          </w14:textFill>
        </w:rPr>
        <w:t>www.qufu.gov.vn</w:t>
      </w:r>
      <w:r>
        <w:rPr>
          <w:rFonts w:hint="eastAsia" w:ascii="Times New Roman" w:hAnsi="Times New Roman" w:eastAsia="方正仿宋简体"/>
          <w:b/>
          <w:color w:val="000000" w:themeColor="text1"/>
          <w:sz w:val="32"/>
          <w:szCs w:val="32"/>
          <w:highlight w:val="none"/>
          <w14:textFill>
            <w14:solidFill>
              <w14:schemeClr w14:val="tx1"/>
            </w14:solidFill>
          </w14:textFill>
        </w:rPr>
        <w:t>）查阅或下载。如对本报告有疑问，请与</w:t>
      </w:r>
      <w:r>
        <w:rPr>
          <w:rFonts w:hint="eastAsia" w:ascii="Times New Roman" w:hAnsi="Times New Roman" w:eastAsia="方正仿宋简体"/>
          <w:b/>
          <w:color w:val="000000" w:themeColor="text1"/>
          <w:sz w:val="32"/>
          <w:szCs w:val="32"/>
          <w:highlight w:val="none"/>
          <w:lang w:val="en-US" w:eastAsia="zh-CN"/>
          <w14:textFill>
            <w14:solidFill>
              <w14:schemeClr w14:val="tx1"/>
            </w14:solidFill>
          </w14:textFill>
        </w:rPr>
        <w:t>曲阜市人民政府办公室政务公开办公室</w:t>
      </w:r>
      <w:r>
        <w:rPr>
          <w:rFonts w:hint="eastAsia" w:ascii="Times New Roman" w:hAnsi="Times New Roman" w:eastAsia="方正仿宋简体"/>
          <w:b/>
          <w:color w:val="000000" w:themeColor="text1"/>
          <w:sz w:val="32"/>
          <w:szCs w:val="32"/>
          <w:highlight w:val="none"/>
          <w14:textFill>
            <w14:solidFill>
              <w14:schemeClr w14:val="tx1"/>
            </w14:solidFill>
          </w14:textFill>
        </w:rPr>
        <w:t>联系（地址：</w:t>
      </w:r>
      <w:r>
        <w:rPr>
          <w:rFonts w:hint="eastAsia" w:ascii="Times New Roman" w:hAnsi="Times New Roman" w:eastAsia="方正仿宋简体"/>
          <w:b/>
          <w:color w:val="000000" w:themeColor="text1"/>
          <w:sz w:val="32"/>
          <w:szCs w:val="32"/>
          <w:highlight w:val="none"/>
          <w:lang w:val="en-US" w:eastAsia="zh-CN"/>
          <w14:textFill>
            <w14:solidFill>
              <w14:schemeClr w14:val="tx1"/>
            </w14:solidFill>
          </w14:textFill>
        </w:rPr>
        <w:t>山东省曲阜市春秋路一号</w:t>
      </w:r>
      <w:r>
        <w:rPr>
          <w:rFonts w:hint="eastAsia" w:ascii="Times New Roman" w:hAnsi="Times New Roman" w:eastAsia="方正仿宋简体"/>
          <w:b/>
          <w:color w:val="000000" w:themeColor="text1"/>
          <w:sz w:val="32"/>
          <w:szCs w:val="32"/>
          <w:highlight w:val="none"/>
          <w14:textFill>
            <w14:solidFill>
              <w14:schemeClr w14:val="tx1"/>
            </w14:solidFill>
          </w14:textFill>
        </w:rPr>
        <w:t>，联系电话：0537-</w:t>
      </w:r>
      <w:r>
        <w:rPr>
          <w:rFonts w:hint="eastAsia" w:ascii="Times New Roman" w:hAnsi="Times New Roman" w:eastAsia="方正仿宋简体"/>
          <w:b/>
          <w:color w:val="000000" w:themeColor="text1"/>
          <w:sz w:val="32"/>
          <w:szCs w:val="32"/>
          <w:highlight w:val="none"/>
          <w:lang w:val="en-US" w:eastAsia="zh-CN"/>
          <w14:textFill>
            <w14:solidFill>
              <w14:schemeClr w14:val="tx1"/>
            </w14:solidFill>
          </w14:textFill>
        </w:rPr>
        <w:t>4498856</w:t>
      </w:r>
      <w:r>
        <w:rPr>
          <w:rFonts w:hint="eastAsia" w:ascii="Times New Roman" w:hAnsi="Times New Roman" w:eastAsia="方正仿宋简体"/>
          <w:b/>
          <w:color w:val="000000" w:themeColor="text1"/>
          <w:sz w:val="32"/>
          <w:szCs w:val="32"/>
          <w:highlight w:val="none"/>
          <w14:textFill>
            <w14:solidFill>
              <w14:schemeClr w14:val="tx1"/>
            </w14:solidFill>
          </w14:textFill>
        </w:rPr>
        <w:t>）。</w:t>
      </w:r>
    </w:p>
    <w:p w14:paraId="51F4367D">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ascii="Times New Roman" w:hAnsi="Times New Roman" w:eastAsia="方正黑体简体"/>
          <w:b/>
          <w:color w:val="000000" w:themeColor="text1"/>
          <w:sz w:val="32"/>
          <w:szCs w:val="32"/>
          <w:highlight w:val="none"/>
          <w14:textFill>
            <w14:solidFill>
              <w14:schemeClr w14:val="tx1"/>
            </w14:solidFill>
          </w14:textFill>
        </w:rPr>
      </w:pPr>
      <w:r>
        <w:rPr>
          <w:rFonts w:hint="eastAsia" w:ascii="Times New Roman" w:hAnsi="Times New Roman" w:eastAsia="方正黑体简体"/>
          <w:b/>
          <w:color w:val="000000" w:themeColor="text1"/>
          <w:sz w:val="32"/>
          <w:szCs w:val="32"/>
          <w:highlight w:val="none"/>
          <w14:textFill>
            <w14:solidFill>
              <w14:schemeClr w14:val="tx1"/>
            </w14:solidFill>
          </w14:textFill>
        </w:rPr>
        <w:t>一、总体情况</w:t>
      </w:r>
    </w:p>
    <w:p w14:paraId="58F26E4C">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eastAsia" w:ascii="Times New Roman" w:hAnsi="Times New Roman" w:eastAsia="方正仿宋简体" w:cs="宋体"/>
          <w:b/>
          <w:bCs/>
          <w:sz w:val="32"/>
          <w:szCs w:val="32"/>
          <w:highlight w:val="none"/>
          <w:lang w:val="en-US" w:eastAsia="zh-CN"/>
        </w:rPr>
      </w:pPr>
      <w:r>
        <w:rPr>
          <w:rFonts w:hint="eastAsia" w:ascii="Times New Roman" w:hAnsi="Times New Roman" w:eastAsia="方正仿宋简体" w:cs="方正仿宋简体"/>
          <w:b/>
          <w:bCs/>
          <w:sz w:val="32"/>
          <w:szCs w:val="32"/>
          <w:highlight w:val="none"/>
          <w:lang w:val="en-US" w:eastAsia="zh-CN"/>
        </w:rPr>
        <w:t>2024年，曲阜市人民政府办公室认真贯彻</w:t>
      </w:r>
      <w:r>
        <w:rPr>
          <w:rFonts w:hint="eastAsia" w:ascii="Times New Roman" w:hAnsi="Times New Roman" w:eastAsia="方正仿宋简体" w:cs="宋体"/>
          <w:b/>
          <w:bCs/>
          <w:sz w:val="32"/>
          <w:szCs w:val="32"/>
          <w:highlight w:val="none"/>
          <w:lang w:val="en-US" w:eastAsia="zh-CN"/>
        </w:rPr>
        <w:t>落实省市政务公开工作部署，严格按照《条例》、上级政务公开工作要点等相关要求，把握当前政务公开工作新形势，依法主动公开，规范依申请公开，深化政府信息管理，优化公开平台建设，加强监督保障措施，有序推进政务公开工作提质增效。</w:t>
      </w:r>
    </w:p>
    <w:p w14:paraId="631E793B">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default" w:ascii="Times New Roman" w:hAnsi="Times New Roman" w:eastAsia="方正楷体简体"/>
          <w:b/>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楷体简体"/>
          <w:b/>
          <w:color w:val="000000" w:themeColor="text1"/>
          <w:sz w:val="32"/>
          <w:szCs w:val="32"/>
          <w:highlight w:val="none"/>
          <w14:textFill>
            <w14:solidFill>
              <w14:schemeClr w14:val="tx1"/>
            </w14:solidFill>
          </w14:textFill>
        </w:rPr>
        <w:t>（一）</w:t>
      </w:r>
      <w:r>
        <w:rPr>
          <w:rFonts w:hint="eastAsia" w:ascii="Times New Roman" w:hAnsi="Times New Roman" w:eastAsia="方正楷体简体" w:cs="Times New Roman"/>
          <w:b/>
          <w:color w:val="000000" w:themeColor="text1"/>
          <w:sz w:val="32"/>
          <w:szCs w:val="32"/>
          <w:highlight w:val="none"/>
          <w:lang w:val="en-US" w:eastAsia="zh-CN"/>
          <w14:textFill>
            <w14:solidFill>
              <w14:schemeClr w14:val="tx1"/>
            </w14:solidFill>
          </w14:textFill>
        </w:rPr>
        <w:t>主动公开情况</w:t>
      </w:r>
    </w:p>
    <w:p w14:paraId="1E91769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4" w:firstLineChars="200"/>
        <w:textAlignment w:val="auto"/>
        <w:rPr>
          <w:rFonts w:hint="eastAsia" w:ascii="Times New Roman" w:hAnsi="Times New Roman" w:eastAsia="方正仿宋简体" w:cs="宋体"/>
          <w:b/>
          <w:bCs/>
          <w:sz w:val="32"/>
          <w:szCs w:val="32"/>
          <w:highlight w:val="none"/>
          <w:lang w:val="en-US" w:eastAsia="zh-CN"/>
        </w:rPr>
      </w:pPr>
      <w:r>
        <w:rPr>
          <w:rFonts w:hint="eastAsia" w:ascii="Times New Roman" w:hAnsi="Times New Roman" w:eastAsia="方正仿宋简体" w:cs="宋体"/>
          <w:b/>
          <w:bCs/>
          <w:sz w:val="32"/>
          <w:szCs w:val="32"/>
          <w:highlight w:val="none"/>
          <w:lang w:val="en-US" w:eastAsia="zh-CN"/>
        </w:rPr>
        <w:t>2024年，累计发布政府信息5693条，其中发布常务会议图解21篇及相关议题解读17篇；制作、发布政策文件解读20篇，其中文字解读7篇，图解、视频、AI等多种形式解读材料5篇，相关负责人现场访谈解读5篇，专家、媒体等不同角度解读材料3篇，确保解读材料发布及时、突出重点、质量过关，不断提升政策解读的权威性和有效性。</w:t>
      </w:r>
    </w:p>
    <w:p w14:paraId="449947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宋体"/>
          <w:b/>
          <w:bCs/>
          <w:sz w:val="32"/>
          <w:szCs w:val="32"/>
          <w:highlight w:val="none"/>
          <w:lang w:val="en-US" w:eastAsia="zh-CN"/>
        </w:rPr>
      </w:pPr>
      <w:r>
        <w:rPr>
          <w:rFonts w:ascii="Times New Roman" w:hAnsi="Times New Roman"/>
          <w:highlight w:val="none"/>
        </w:rPr>
        <w:drawing>
          <wp:inline distT="0" distB="0" distL="114300" distR="114300">
            <wp:extent cx="5542915" cy="3602990"/>
            <wp:effectExtent l="0" t="0" r="635"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542915" cy="3602990"/>
                    </a:xfrm>
                    <a:prstGeom prst="rect">
                      <a:avLst/>
                    </a:prstGeom>
                    <a:noFill/>
                    <a:ln>
                      <a:noFill/>
                    </a:ln>
                  </pic:spPr>
                </pic:pic>
              </a:graphicData>
            </a:graphic>
          </wp:inline>
        </w:drawing>
      </w:r>
    </w:p>
    <w:p w14:paraId="5ECCDD0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573" w:leftChars="0" w:firstLineChars="0"/>
        <w:jc w:val="left"/>
        <w:textAlignment w:val="auto"/>
        <w:rPr>
          <w:rFonts w:hint="eastAsia" w:ascii="Times New Roman" w:hAnsi="Times New Roman" w:eastAsia="方正楷体简体" w:cs="方正楷体简体"/>
          <w:b/>
          <w:bCs/>
          <w:sz w:val="32"/>
          <w:szCs w:val="32"/>
          <w:highlight w:val="none"/>
          <w:lang w:val="en-US" w:eastAsia="zh-CN"/>
        </w:rPr>
      </w:pPr>
      <w:r>
        <w:rPr>
          <w:rFonts w:hint="eastAsia" w:ascii="Times New Roman" w:hAnsi="Times New Roman" w:eastAsia="方正楷体简体" w:cs="方正楷体简体"/>
          <w:b/>
          <w:bCs/>
          <w:sz w:val="32"/>
          <w:szCs w:val="32"/>
          <w:highlight w:val="none"/>
          <w:lang w:val="en-US" w:eastAsia="zh-CN"/>
        </w:rPr>
        <w:t>依申请公开情况</w:t>
      </w:r>
    </w:p>
    <w:p w14:paraId="05C9CE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24" w:firstLineChars="200"/>
        <w:jc w:val="both"/>
        <w:textAlignment w:val="auto"/>
        <w:rPr>
          <w:rFonts w:hint="eastAsia" w:ascii="Times New Roman" w:hAnsi="Times New Roman" w:eastAsia="方正仿宋简体" w:cs="宋体"/>
          <w:b/>
          <w:bCs/>
          <w:sz w:val="32"/>
          <w:szCs w:val="32"/>
          <w:highlight w:val="none"/>
          <w:lang w:val="en-US" w:eastAsia="zh-CN"/>
        </w:rPr>
      </w:pPr>
      <w:r>
        <w:rPr>
          <w:rFonts w:hint="eastAsia" w:ascii="Times New Roman" w:hAnsi="Times New Roman" w:eastAsia="方正仿宋简体" w:cs="宋体"/>
          <w:b/>
          <w:bCs/>
          <w:sz w:val="32"/>
          <w:szCs w:val="32"/>
          <w:highlight w:val="none"/>
          <w:lang w:val="en-US" w:eastAsia="zh-CN"/>
        </w:rPr>
        <w:t>2024年，本机关依申请公开工作坚持程序规范原则，严格依规答复，落实全方位沟通，提升政务服务水平，加强便民措施，提供人性化服务。本年度共新收到政府信息公开申请32件，结转上年1件。本年度办理答复30件，结转下年办理3件。新申请数量较去年增长11件，申请公开内容集中在土地征收、房屋拆迁等事项，多涉及安置方案、补偿分配或审批文件等材料。</w:t>
      </w:r>
    </w:p>
    <w:p w14:paraId="3214E813">
      <w:pPr>
        <w:pStyle w:val="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highlight w:val="none"/>
          <w:lang w:val="en-US" w:eastAsia="zh-CN"/>
        </w:rPr>
      </w:pPr>
      <w:r>
        <w:rPr>
          <w:rFonts w:ascii="Times New Roman" w:hAnsi="Times New Roman"/>
          <w:highlight w:val="none"/>
        </w:rPr>
        <w:drawing>
          <wp:inline distT="0" distB="0" distL="114300" distR="114300">
            <wp:extent cx="5314950" cy="2819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314950" cy="2819400"/>
                    </a:xfrm>
                    <a:prstGeom prst="rect">
                      <a:avLst/>
                    </a:prstGeom>
                    <a:noFill/>
                    <a:ln>
                      <a:noFill/>
                    </a:ln>
                  </pic:spPr>
                </pic:pic>
              </a:graphicData>
            </a:graphic>
          </wp:inline>
        </w:drawing>
      </w:r>
    </w:p>
    <w:p w14:paraId="04F5607D">
      <w:pPr>
        <w:keepNext w:val="0"/>
        <w:keepLines w:val="0"/>
        <w:pageBreakBefore w:val="0"/>
        <w:numPr>
          <w:ilvl w:val="0"/>
          <w:numId w:val="2"/>
        </w:numPr>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楷体简体" w:cs="Times New Roman"/>
          <w:b/>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楷体简体" w:cs="Times New Roman"/>
          <w:b/>
          <w:color w:val="000000" w:themeColor="text1"/>
          <w:sz w:val="32"/>
          <w:szCs w:val="32"/>
          <w:highlight w:val="none"/>
          <w:lang w:val="en-US" w:eastAsia="zh-CN"/>
          <w14:textFill>
            <w14:solidFill>
              <w14:schemeClr w14:val="tx1"/>
            </w14:solidFill>
          </w14:textFill>
        </w:rPr>
        <w:t>政府信息管理情况</w:t>
      </w:r>
    </w:p>
    <w:p w14:paraId="47C4164A">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宋体"/>
          <w:b/>
          <w:bCs/>
          <w:sz w:val="32"/>
          <w:szCs w:val="32"/>
          <w:highlight w:val="none"/>
          <w:lang w:val="en-US" w:eastAsia="zh-CN"/>
        </w:rPr>
        <w:t>明确政府网站管理职责，严格政府信息发布审核，严管信息安全，加强重点时期应急值守，开展风险排查工作。依照有关法律、法规、规章，编制市政府办公室主动公开事项目录，提升政府信息发布质量。2024年度在上级统一政策文件库发布新增规范性文件1件，废止规范性文件4件，</w:t>
      </w:r>
      <w:r>
        <w:rPr>
          <w:rFonts w:hint="eastAsia" w:ascii="Times New Roman" w:hAnsi="Times New Roman" w:eastAsia="方正仿宋简体"/>
          <w:b/>
          <w:color w:val="000000" w:themeColor="text1"/>
          <w:sz w:val="32"/>
          <w:szCs w:val="32"/>
          <w:highlight w:val="none"/>
          <w:lang w:val="en-US" w:eastAsia="zh-CN"/>
          <w14:textFill>
            <w14:solidFill>
              <w14:schemeClr w14:val="tx1"/>
            </w14:solidFill>
          </w14:textFill>
        </w:rPr>
        <w:t>全市现行有效的市政府或市政府办公室名义制发的规范性文件13件。</w:t>
      </w:r>
    </w:p>
    <w:p w14:paraId="24680345">
      <w:pPr>
        <w:keepNext w:val="0"/>
        <w:keepLines w:val="0"/>
        <w:pageBreakBefore w:val="0"/>
        <w:numPr>
          <w:ilvl w:val="0"/>
          <w:numId w:val="2"/>
        </w:numPr>
        <w:kinsoku/>
        <w:overflowPunct/>
        <w:topLinePunct w:val="0"/>
        <w:autoSpaceDE/>
        <w:autoSpaceDN/>
        <w:bidi w:val="0"/>
        <w:adjustRightInd/>
        <w:snapToGrid/>
        <w:spacing w:line="580" w:lineRule="exact"/>
        <w:ind w:right="-96" w:rightChars="-50" w:firstLine="624" w:firstLineChars="200"/>
        <w:textAlignment w:val="auto"/>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楷体简体"/>
          <w:b/>
          <w:color w:val="000000" w:themeColor="text1"/>
          <w:sz w:val="32"/>
          <w:szCs w:val="32"/>
          <w:highlight w:val="none"/>
          <w14:textFill>
            <w14:solidFill>
              <w14:schemeClr w14:val="tx1"/>
            </w14:solidFill>
          </w14:textFill>
        </w:rPr>
        <w:t>政府信息公开平台</w:t>
      </w:r>
      <w:r>
        <w:rPr>
          <w:rFonts w:hint="eastAsia" w:ascii="Times New Roman" w:hAnsi="Times New Roman" w:eastAsia="方正楷体简体"/>
          <w:b/>
          <w:color w:val="000000" w:themeColor="text1"/>
          <w:sz w:val="32"/>
          <w:szCs w:val="32"/>
          <w:highlight w:val="none"/>
          <w:lang w:val="en-US" w:eastAsia="zh-CN"/>
          <w14:textFill>
            <w14:solidFill>
              <w14:schemeClr w14:val="tx1"/>
            </w14:solidFill>
          </w14:textFill>
        </w:rPr>
        <w:t>建设情况</w:t>
      </w:r>
    </w:p>
    <w:p w14:paraId="4F85171E">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仿宋简体" w:cs="宋体"/>
          <w:b/>
          <w:bCs/>
          <w:sz w:val="32"/>
          <w:szCs w:val="32"/>
          <w:highlight w:val="none"/>
          <w:lang w:val="en-US" w:eastAsia="zh-CN"/>
        </w:rPr>
      </w:pPr>
      <w:r>
        <w:rPr>
          <w:rFonts w:hint="eastAsia" w:ascii="Times New Roman" w:hAnsi="Times New Roman" w:eastAsia="方正仿宋简体" w:cs="宋体"/>
          <w:b/>
          <w:bCs/>
          <w:sz w:val="32"/>
          <w:szCs w:val="32"/>
          <w:highlight w:val="none"/>
          <w:lang w:val="en-US" w:eastAsia="zh-CN"/>
        </w:rPr>
        <w:t>进一步完善政务公开专栏设置，本年度新开设专栏2个，目前正常运营维护专栏12个。依托全市公共企事业单位信息平台，集中公开学校、医疗、水气热和交通等公共企事业单位信息。针对历史发布文件的有效性、发布日期进行梳理，及时撤稿已失效、已废止文件。持续做好政务新媒体日常监管工作，确保信息发布的准确性和时效性，市政府门户网站“中国·曲阜”在2024年中国优秀政务平台（数字政府）推荐及综合影响力评估中获“领先政务网站”“优秀政务网站”奖项。</w:t>
      </w:r>
    </w:p>
    <w:p w14:paraId="13B36DDB">
      <w:pPr>
        <w:keepNext w:val="0"/>
        <w:keepLines w:val="0"/>
        <w:pageBreakBefore w:val="0"/>
        <w:numPr>
          <w:ilvl w:val="0"/>
          <w:numId w:val="2"/>
        </w:numPr>
        <w:kinsoku/>
        <w:overflowPunct/>
        <w:topLinePunct w:val="0"/>
        <w:autoSpaceDE/>
        <w:autoSpaceDN/>
        <w:bidi w:val="0"/>
        <w:adjustRightInd/>
        <w:snapToGrid/>
        <w:spacing w:line="580" w:lineRule="exact"/>
        <w:ind w:left="0" w:leftChars="0" w:right="-96" w:rightChars="-50" w:firstLine="624" w:firstLineChars="200"/>
        <w:textAlignment w:val="auto"/>
        <w:rPr>
          <w:rFonts w:hint="eastAsia" w:ascii="Times New Roman" w:hAnsi="Times New Roman" w:eastAsia="方正楷体简体"/>
          <w:b/>
          <w:color w:val="000000" w:themeColor="text1"/>
          <w:sz w:val="32"/>
          <w:szCs w:val="32"/>
          <w:highlight w:val="none"/>
          <w14:textFill>
            <w14:solidFill>
              <w14:schemeClr w14:val="tx1"/>
            </w14:solidFill>
          </w14:textFill>
        </w:rPr>
      </w:pPr>
      <w:r>
        <w:rPr>
          <w:rFonts w:hint="eastAsia" w:ascii="Times New Roman" w:hAnsi="Times New Roman" w:eastAsia="方正楷体简体"/>
          <w:b/>
          <w:color w:val="000000" w:themeColor="text1"/>
          <w:sz w:val="32"/>
          <w:szCs w:val="32"/>
          <w:highlight w:val="none"/>
          <w14:textFill>
            <w14:solidFill>
              <w14:schemeClr w14:val="tx1"/>
            </w14:solidFill>
          </w14:textFill>
        </w:rPr>
        <w:t>监督保障</w:t>
      </w:r>
      <w:r>
        <w:rPr>
          <w:rFonts w:hint="eastAsia" w:ascii="Times New Roman" w:hAnsi="Times New Roman" w:eastAsia="方正楷体简体"/>
          <w:b/>
          <w:color w:val="000000" w:themeColor="text1"/>
          <w:sz w:val="32"/>
          <w:szCs w:val="32"/>
          <w:highlight w:val="none"/>
          <w:lang w:val="en-US" w:eastAsia="zh-CN"/>
          <w14:textFill>
            <w14:solidFill>
              <w14:schemeClr w14:val="tx1"/>
            </w14:solidFill>
          </w14:textFill>
        </w:rPr>
        <w:t>情况</w:t>
      </w:r>
    </w:p>
    <w:p w14:paraId="1A5DF722">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仿宋简体" w:cs="宋体"/>
          <w:b/>
          <w:bCs/>
          <w:sz w:val="32"/>
          <w:szCs w:val="32"/>
          <w:highlight w:val="none"/>
          <w:lang w:val="en-US" w:eastAsia="zh-CN"/>
        </w:rPr>
      </w:pPr>
      <w:r>
        <w:rPr>
          <w:rFonts w:hint="eastAsia" w:ascii="Times New Roman" w:hAnsi="Times New Roman" w:eastAsia="方正仿宋简体" w:cs="宋体"/>
          <w:b/>
          <w:bCs/>
          <w:sz w:val="32"/>
          <w:szCs w:val="32"/>
          <w:highlight w:val="none"/>
          <w:lang w:val="en-US" w:eastAsia="zh-CN"/>
        </w:rPr>
        <w:t>本机关政务公开工作专职负责人员2人，分管负责人员1人。本年度参加上级政务公开专题或业务培训3次，系统学习政策文件库管理、主动公开事项目录编制、依申请公开办理和解读材料制作等方面工作，政务公开工作人员的专业技能和服务意识得到进一步提升。</w:t>
      </w:r>
    </w:p>
    <w:p w14:paraId="78D2C401">
      <w:pPr>
        <w:keepNext w:val="0"/>
        <w:keepLines w:val="0"/>
        <w:pageBreakBefore w:val="0"/>
        <w:numPr>
          <w:ilvl w:val="0"/>
          <w:numId w:val="3"/>
        </w:numPr>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黑体简体"/>
          <w:b/>
          <w:color w:val="000000" w:themeColor="text1"/>
          <w:sz w:val="32"/>
          <w:szCs w:val="32"/>
          <w:highlight w:val="none"/>
          <w14:textFill>
            <w14:solidFill>
              <w14:schemeClr w14:val="tx1"/>
            </w14:solidFill>
          </w14:textFill>
        </w:rPr>
      </w:pPr>
      <w:r>
        <w:rPr>
          <w:rFonts w:hint="eastAsia" w:ascii="Times New Roman" w:hAnsi="Times New Roman" w:eastAsia="方正黑体简体"/>
          <w:b/>
          <w:color w:val="000000" w:themeColor="text1"/>
          <w:sz w:val="32"/>
          <w:szCs w:val="32"/>
          <w:highlight w:val="none"/>
          <w14:textFill>
            <w14:solidFill>
              <w14:schemeClr w14:val="tx1"/>
            </w14:solidFill>
          </w14:textFill>
        </w:rPr>
        <w:t>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14:paraId="7FA9878D">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15C2B66">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s="宋体"/>
                <w:color w:val="000000"/>
                <w:kern w:val="0"/>
                <w:szCs w:val="21"/>
                <w:highlight w:val="none"/>
              </w:rPr>
            </w:pPr>
            <w:r>
              <w:rPr>
                <w:rFonts w:hint="eastAsia" w:ascii="Times New Roman" w:hAnsi="Times New Roman" w:eastAsia="黑体" w:cs="宋体"/>
                <w:color w:val="000000"/>
                <w:kern w:val="0"/>
                <w:szCs w:val="21"/>
                <w:highlight w:val="none"/>
              </w:rPr>
              <w:t>第二十条第（一）项</w:t>
            </w:r>
          </w:p>
        </w:tc>
      </w:tr>
      <w:tr w14:paraId="6A613EE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27DD836">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highlight w:val="none"/>
              </w:rPr>
            </w:pPr>
            <w:r>
              <w:rPr>
                <w:rFonts w:hint="eastAsia" w:ascii="Times New Roman" w:hAnsi="Times New Roman" w:eastAsia="仿宋_GB2312" w:cs="宋体"/>
                <w:color w:val="000000"/>
                <w:kern w:val="0"/>
                <w:sz w:val="22"/>
                <w:szCs w:val="24"/>
                <w:highlight w:val="none"/>
              </w:rPr>
              <w:t>信息内容</w:t>
            </w:r>
          </w:p>
        </w:tc>
        <w:tc>
          <w:tcPr>
            <w:tcW w:w="2206" w:type="dxa"/>
            <w:tcBorders>
              <w:top w:val="nil"/>
              <w:left w:val="nil"/>
              <w:bottom w:val="single" w:color="auto" w:sz="8" w:space="0"/>
              <w:right w:val="single" w:color="auto" w:sz="8" w:space="0"/>
            </w:tcBorders>
            <w:shd w:val="clear" w:color="auto" w:fill="auto"/>
            <w:vAlign w:val="center"/>
          </w:tcPr>
          <w:p w14:paraId="64BA33C6">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highlight w:val="none"/>
              </w:rPr>
            </w:pPr>
            <w:r>
              <w:rPr>
                <w:rFonts w:hint="eastAsia" w:ascii="Times New Roman" w:hAnsi="Times New Roman" w:eastAsia="仿宋_GB2312" w:cs="宋体"/>
                <w:color w:val="000000"/>
                <w:kern w:val="0"/>
                <w:sz w:val="22"/>
                <w:szCs w:val="24"/>
                <w:highlight w:val="none"/>
              </w:rPr>
              <w:t>本年制发件数</w:t>
            </w:r>
          </w:p>
        </w:tc>
        <w:tc>
          <w:tcPr>
            <w:tcW w:w="2206" w:type="dxa"/>
            <w:tcBorders>
              <w:top w:val="nil"/>
              <w:left w:val="nil"/>
              <w:bottom w:val="single" w:color="auto" w:sz="8" w:space="0"/>
              <w:right w:val="single" w:color="auto" w:sz="8" w:space="0"/>
            </w:tcBorders>
            <w:shd w:val="clear" w:color="auto" w:fill="auto"/>
            <w:vAlign w:val="center"/>
          </w:tcPr>
          <w:p w14:paraId="0F377EC4">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highlight w:val="none"/>
              </w:rPr>
            </w:pPr>
            <w:r>
              <w:rPr>
                <w:rFonts w:hint="eastAsia" w:ascii="Times New Roman" w:hAnsi="Times New Roman" w:eastAsia="仿宋_GB2312" w:cs="宋体"/>
                <w:color w:val="000000"/>
                <w:kern w:val="0"/>
                <w:sz w:val="22"/>
                <w:szCs w:val="24"/>
                <w:highlight w:val="none"/>
              </w:rPr>
              <w:t>本年废止件数</w:t>
            </w:r>
          </w:p>
        </w:tc>
        <w:tc>
          <w:tcPr>
            <w:tcW w:w="2206" w:type="dxa"/>
            <w:tcBorders>
              <w:top w:val="nil"/>
              <w:left w:val="nil"/>
              <w:bottom w:val="single" w:color="auto" w:sz="8" w:space="0"/>
              <w:right w:val="single" w:color="auto" w:sz="8" w:space="0"/>
            </w:tcBorders>
            <w:shd w:val="clear" w:color="auto" w:fill="auto"/>
            <w:vAlign w:val="center"/>
          </w:tcPr>
          <w:p w14:paraId="0BBCDFAD">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highlight w:val="none"/>
              </w:rPr>
            </w:pPr>
            <w:r>
              <w:rPr>
                <w:rFonts w:hint="eastAsia" w:ascii="Times New Roman" w:hAnsi="Times New Roman" w:eastAsia="仿宋_GB2312" w:cs="宋体"/>
                <w:color w:val="000000"/>
                <w:kern w:val="0"/>
                <w:sz w:val="22"/>
                <w:szCs w:val="24"/>
                <w:highlight w:val="none"/>
              </w:rPr>
              <w:t>现行有效件数</w:t>
            </w:r>
          </w:p>
        </w:tc>
      </w:tr>
      <w:tr w14:paraId="432CDCE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1B04B9F">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highlight w:val="none"/>
              </w:rPr>
            </w:pPr>
            <w:r>
              <w:rPr>
                <w:rFonts w:hint="eastAsia" w:ascii="Times New Roman" w:hAnsi="Times New Roman" w:eastAsia="仿宋_GB2312" w:cs="宋体"/>
                <w:color w:val="000000"/>
                <w:kern w:val="0"/>
                <w:sz w:val="22"/>
                <w:szCs w:val="24"/>
                <w:highlight w:val="none"/>
              </w:rPr>
              <w:t>规章</w:t>
            </w:r>
          </w:p>
        </w:tc>
        <w:tc>
          <w:tcPr>
            <w:tcW w:w="2206" w:type="dxa"/>
            <w:tcBorders>
              <w:top w:val="nil"/>
              <w:left w:val="nil"/>
              <w:bottom w:val="single" w:color="auto" w:sz="8" w:space="0"/>
              <w:right w:val="single" w:color="auto" w:sz="8" w:space="0"/>
            </w:tcBorders>
            <w:shd w:val="clear" w:color="auto" w:fill="auto"/>
            <w:vAlign w:val="center"/>
          </w:tcPr>
          <w:p w14:paraId="070F7934">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Times New Roman" w:hAnsi="Times New Roman" w:eastAsia="仿宋_GB2312" w:cs="宋体"/>
                <w:color w:val="auto"/>
                <w:kern w:val="0"/>
                <w:sz w:val="22"/>
                <w:szCs w:val="24"/>
                <w:highlight w:val="none"/>
                <w:lang w:eastAsia="zh-CN"/>
              </w:rPr>
            </w:pPr>
            <w:r>
              <w:rPr>
                <w:rFonts w:hint="eastAsia" w:ascii="Times New Roman" w:hAnsi="Times New Roman" w:eastAsia="仿宋_GB2312" w:cs="宋体"/>
                <w:color w:val="auto"/>
                <w:kern w:val="0"/>
                <w:sz w:val="22"/>
                <w:szCs w:val="24"/>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115507D7">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auto"/>
                <w:kern w:val="0"/>
                <w:sz w:val="22"/>
                <w:szCs w:val="24"/>
                <w:highlight w:val="none"/>
              </w:rPr>
            </w:pPr>
            <w:r>
              <w:rPr>
                <w:rFonts w:hint="eastAsia" w:ascii="Times New Roman" w:hAnsi="Times New Roman" w:eastAsia="仿宋_GB2312" w:cs="宋体"/>
                <w:color w:val="auto"/>
                <w:kern w:val="0"/>
                <w:sz w:val="22"/>
                <w:szCs w:val="24"/>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15D889D4">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Calibri"/>
                <w:color w:val="auto"/>
                <w:kern w:val="0"/>
                <w:sz w:val="22"/>
                <w:szCs w:val="24"/>
                <w:highlight w:val="none"/>
              </w:rPr>
            </w:pPr>
            <w:r>
              <w:rPr>
                <w:rFonts w:hint="eastAsia" w:ascii="Times New Roman" w:hAnsi="Times New Roman" w:eastAsia="仿宋_GB2312" w:cs="宋体"/>
                <w:color w:val="auto"/>
                <w:kern w:val="0"/>
                <w:sz w:val="22"/>
                <w:szCs w:val="24"/>
                <w:highlight w:val="none"/>
                <w:lang w:val="en-US" w:eastAsia="zh-CN"/>
              </w:rPr>
              <w:t>0</w:t>
            </w:r>
          </w:p>
        </w:tc>
      </w:tr>
      <w:tr w14:paraId="0589773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5CF6CA1">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highlight w:val="none"/>
              </w:rPr>
            </w:pPr>
            <w:r>
              <w:rPr>
                <w:rFonts w:hint="eastAsia" w:ascii="Times New Roman" w:hAnsi="Times New Roman" w:eastAsia="仿宋_GB2312" w:cs="宋体"/>
                <w:color w:val="000000"/>
                <w:kern w:val="0"/>
                <w:sz w:val="22"/>
                <w:szCs w:val="24"/>
                <w:highlight w:val="none"/>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02C86E67">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Times New Roman" w:hAnsi="Times New Roman" w:eastAsia="仿宋_GB2312" w:cs="宋体"/>
                <w:color w:val="auto"/>
                <w:kern w:val="0"/>
                <w:sz w:val="22"/>
                <w:szCs w:val="24"/>
                <w:highlight w:val="none"/>
                <w:lang w:eastAsia="zh-CN"/>
              </w:rPr>
            </w:pPr>
            <w:r>
              <w:rPr>
                <w:rFonts w:hint="eastAsia" w:ascii="Times New Roman" w:hAnsi="Times New Roman" w:eastAsia="仿宋_GB2312" w:cs="宋体"/>
                <w:color w:val="auto"/>
                <w:kern w:val="0"/>
                <w:sz w:val="22"/>
                <w:szCs w:val="24"/>
                <w:highlight w:val="none"/>
                <w:lang w:val="en-US" w:eastAsia="zh-CN"/>
              </w:rPr>
              <w:t>1</w:t>
            </w:r>
          </w:p>
        </w:tc>
        <w:tc>
          <w:tcPr>
            <w:tcW w:w="2206" w:type="dxa"/>
            <w:tcBorders>
              <w:top w:val="nil"/>
              <w:left w:val="nil"/>
              <w:bottom w:val="single" w:color="auto" w:sz="8" w:space="0"/>
              <w:right w:val="single" w:color="auto" w:sz="8" w:space="0"/>
            </w:tcBorders>
            <w:shd w:val="clear" w:color="auto" w:fill="auto"/>
            <w:vAlign w:val="center"/>
          </w:tcPr>
          <w:p w14:paraId="4B78510E">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Times New Roman" w:hAnsi="Times New Roman" w:eastAsia="仿宋_GB2312" w:cs="宋体"/>
                <w:color w:val="auto"/>
                <w:kern w:val="0"/>
                <w:sz w:val="22"/>
                <w:szCs w:val="24"/>
                <w:highlight w:val="none"/>
                <w:lang w:eastAsia="zh-CN"/>
              </w:rPr>
            </w:pPr>
            <w:r>
              <w:rPr>
                <w:rFonts w:hint="eastAsia" w:ascii="Times New Roman" w:hAnsi="Times New Roman" w:eastAsia="仿宋_GB2312" w:cs="宋体"/>
                <w:color w:val="auto"/>
                <w:kern w:val="0"/>
                <w:sz w:val="22"/>
                <w:szCs w:val="24"/>
                <w:highlight w:val="none"/>
                <w:lang w:val="en-US" w:eastAsia="zh-CN"/>
              </w:rPr>
              <w:t>4</w:t>
            </w:r>
          </w:p>
        </w:tc>
        <w:tc>
          <w:tcPr>
            <w:tcW w:w="2206" w:type="dxa"/>
            <w:tcBorders>
              <w:top w:val="nil"/>
              <w:left w:val="nil"/>
              <w:bottom w:val="single" w:color="auto" w:sz="8" w:space="0"/>
              <w:right w:val="single" w:color="auto" w:sz="8" w:space="0"/>
            </w:tcBorders>
            <w:shd w:val="clear" w:color="auto" w:fill="auto"/>
            <w:vAlign w:val="center"/>
          </w:tcPr>
          <w:p w14:paraId="249E0B41">
            <w:pPr>
              <w:keepNext w:val="0"/>
              <w:keepLines w:val="0"/>
              <w:pageBreakBefore w:val="0"/>
              <w:widowControl/>
              <w:kinsoku/>
              <w:overflowPunct/>
              <w:topLinePunct w:val="0"/>
              <w:autoSpaceDE/>
              <w:autoSpaceDN/>
              <w:bidi w:val="0"/>
              <w:adjustRightInd/>
              <w:snapToGrid/>
              <w:spacing w:line="580" w:lineRule="exact"/>
              <w:jc w:val="center"/>
              <w:textAlignment w:val="auto"/>
              <w:rPr>
                <w:rFonts w:hint="default" w:ascii="Times New Roman" w:hAnsi="Times New Roman" w:eastAsia="仿宋_GB2312" w:cs="宋体"/>
                <w:color w:val="auto"/>
                <w:kern w:val="0"/>
                <w:sz w:val="22"/>
                <w:szCs w:val="24"/>
                <w:highlight w:val="none"/>
                <w:lang w:val="en-US" w:eastAsia="zh-CN"/>
              </w:rPr>
            </w:pPr>
            <w:r>
              <w:rPr>
                <w:rFonts w:hint="eastAsia" w:ascii="Times New Roman" w:hAnsi="Times New Roman" w:eastAsia="仿宋_GB2312" w:cs="宋体"/>
                <w:color w:val="auto"/>
                <w:kern w:val="0"/>
                <w:sz w:val="22"/>
                <w:szCs w:val="24"/>
                <w:highlight w:val="none"/>
                <w:lang w:val="en-US" w:eastAsia="zh-CN"/>
              </w:rPr>
              <w:t>13</w:t>
            </w:r>
          </w:p>
        </w:tc>
      </w:tr>
      <w:tr w14:paraId="3A9E252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3B9E810">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s="宋体"/>
                <w:color w:val="000000"/>
                <w:kern w:val="0"/>
                <w:sz w:val="22"/>
                <w:szCs w:val="24"/>
                <w:highlight w:val="none"/>
              </w:rPr>
            </w:pPr>
            <w:r>
              <w:rPr>
                <w:rFonts w:hint="eastAsia" w:ascii="Times New Roman" w:hAnsi="Times New Roman" w:eastAsia="黑体" w:cs="宋体"/>
                <w:color w:val="000000"/>
                <w:kern w:val="0"/>
                <w:sz w:val="22"/>
                <w:szCs w:val="24"/>
                <w:highlight w:val="none"/>
              </w:rPr>
              <w:t>第二十条第（五）项</w:t>
            </w:r>
          </w:p>
        </w:tc>
      </w:tr>
      <w:tr w14:paraId="60C5964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072CC69">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highlight w:val="none"/>
              </w:rPr>
            </w:pPr>
            <w:r>
              <w:rPr>
                <w:rFonts w:hint="eastAsia" w:ascii="Times New Roman" w:hAnsi="Times New Roman" w:eastAsia="仿宋_GB2312" w:cs="宋体"/>
                <w:color w:val="000000"/>
                <w:kern w:val="0"/>
                <w:sz w:val="22"/>
                <w:szCs w:val="24"/>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B13D253">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highlight w:val="none"/>
              </w:rPr>
            </w:pPr>
            <w:r>
              <w:rPr>
                <w:rFonts w:hint="eastAsia" w:ascii="Times New Roman" w:hAnsi="Times New Roman" w:eastAsia="仿宋_GB2312" w:cs="宋体"/>
                <w:color w:val="000000"/>
                <w:kern w:val="0"/>
                <w:sz w:val="22"/>
                <w:szCs w:val="24"/>
                <w:highlight w:val="none"/>
              </w:rPr>
              <w:t>本年处理决定数量</w:t>
            </w:r>
          </w:p>
        </w:tc>
      </w:tr>
      <w:tr w14:paraId="246331A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34135F8">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highlight w:val="none"/>
              </w:rPr>
            </w:pPr>
            <w:r>
              <w:rPr>
                <w:rFonts w:hint="eastAsia" w:ascii="Times New Roman" w:hAnsi="Times New Roman" w:eastAsia="仿宋_GB2312" w:cs="宋体"/>
                <w:color w:val="000000"/>
                <w:kern w:val="0"/>
                <w:sz w:val="22"/>
                <w:szCs w:val="24"/>
                <w:highlight w:val="none"/>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759CCE9">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Times New Roman" w:hAnsi="Times New Roman" w:eastAsia="仿宋_GB2312" w:cs="Calibri"/>
                <w:color w:val="auto"/>
                <w:kern w:val="0"/>
                <w:sz w:val="22"/>
                <w:szCs w:val="24"/>
                <w:highlight w:val="none"/>
                <w:lang w:val="en-US" w:eastAsia="zh-CN"/>
              </w:rPr>
            </w:pPr>
            <w:r>
              <w:rPr>
                <w:rFonts w:hint="eastAsia" w:ascii="Times New Roman" w:hAnsi="Times New Roman" w:eastAsia="仿宋_GB2312" w:cs="Calibri"/>
                <w:color w:val="auto"/>
                <w:kern w:val="0"/>
                <w:sz w:val="22"/>
                <w:szCs w:val="24"/>
                <w:highlight w:val="none"/>
                <w:lang w:val="en-US" w:eastAsia="zh-CN"/>
              </w:rPr>
              <w:t>0</w:t>
            </w:r>
          </w:p>
        </w:tc>
      </w:tr>
      <w:tr w14:paraId="5F42C1B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7995451">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s="宋体"/>
                <w:color w:val="auto"/>
                <w:kern w:val="0"/>
                <w:sz w:val="22"/>
                <w:szCs w:val="24"/>
                <w:highlight w:val="none"/>
              </w:rPr>
            </w:pPr>
            <w:r>
              <w:rPr>
                <w:rFonts w:hint="eastAsia" w:ascii="Times New Roman" w:hAnsi="Times New Roman" w:eastAsia="黑体" w:cs="宋体"/>
                <w:color w:val="auto"/>
                <w:kern w:val="0"/>
                <w:sz w:val="22"/>
                <w:szCs w:val="24"/>
                <w:highlight w:val="none"/>
              </w:rPr>
              <w:t>第二十条第（六）项</w:t>
            </w:r>
          </w:p>
        </w:tc>
      </w:tr>
      <w:tr w14:paraId="78D6DFC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FD26296">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highlight w:val="none"/>
              </w:rPr>
            </w:pPr>
            <w:r>
              <w:rPr>
                <w:rFonts w:hint="eastAsia" w:ascii="Times New Roman" w:hAnsi="Times New Roman" w:eastAsia="仿宋_GB2312" w:cs="宋体"/>
                <w:color w:val="000000"/>
                <w:kern w:val="0"/>
                <w:sz w:val="22"/>
                <w:szCs w:val="24"/>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44F0C17">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auto"/>
                <w:kern w:val="0"/>
                <w:sz w:val="22"/>
                <w:szCs w:val="24"/>
                <w:highlight w:val="none"/>
              </w:rPr>
            </w:pPr>
            <w:r>
              <w:rPr>
                <w:rFonts w:hint="eastAsia" w:ascii="Times New Roman" w:hAnsi="Times New Roman" w:eastAsia="仿宋_GB2312" w:cs="宋体"/>
                <w:color w:val="auto"/>
                <w:kern w:val="0"/>
                <w:sz w:val="22"/>
                <w:szCs w:val="24"/>
                <w:highlight w:val="none"/>
              </w:rPr>
              <w:t>本年处理决定数量</w:t>
            </w:r>
          </w:p>
        </w:tc>
      </w:tr>
      <w:tr w14:paraId="6979DBB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B68EA9B">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highlight w:val="none"/>
              </w:rPr>
            </w:pPr>
            <w:r>
              <w:rPr>
                <w:rFonts w:hint="eastAsia" w:ascii="Times New Roman" w:hAnsi="Times New Roman" w:eastAsia="仿宋_GB2312" w:cs="宋体"/>
                <w:color w:val="000000"/>
                <w:kern w:val="0"/>
                <w:sz w:val="22"/>
                <w:szCs w:val="24"/>
                <w:highlight w:val="none"/>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0A7B0A7">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Times New Roman" w:hAnsi="Times New Roman" w:eastAsia="仿宋_GB2312" w:cs="Calibri"/>
                <w:color w:val="auto"/>
                <w:kern w:val="0"/>
                <w:sz w:val="22"/>
                <w:szCs w:val="24"/>
                <w:highlight w:val="none"/>
                <w:lang w:eastAsia="zh-CN"/>
              </w:rPr>
            </w:pPr>
            <w:r>
              <w:rPr>
                <w:rFonts w:hint="eastAsia" w:ascii="Times New Roman" w:hAnsi="Times New Roman" w:eastAsia="仿宋_GB2312" w:cs="Calibri"/>
                <w:color w:val="auto"/>
                <w:kern w:val="0"/>
                <w:sz w:val="22"/>
                <w:szCs w:val="24"/>
                <w:highlight w:val="none"/>
                <w:lang w:val="en-US" w:eastAsia="zh-CN"/>
              </w:rPr>
              <w:t>0</w:t>
            </w:r>
          </w:p>
        </w:tc>
      </w:tr>
      <w:tr w14:paraId="2C8479D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FCD92C3">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highlight w:val="none"/>
              </w:rPr>
            </w:pPr>
            <w:r>
              <w:rPr>
                <w:rFonts w:hint="eastAsia" w:ascii="Times New Roman" w:hAnsi="Times New Roman" w:eastAsia="仿宋_GB2312" w:cs="宋体"/>
                <w:color w:val="000000"/>
                <w:kern w:val="0"/>
                <w:sz w:val="22"/>
                <w:szCs w:val="24"/>
                <w:highlight w:val="none"/>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305C74C">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Times New Roman" w:hAnsi="Times New Roman" w:eastAsia="仿宋_GB2312" w:cs="Calibri"/>
                <w:color w:val="auto"/>
                <w:kern w:val="0"/>
                <w:sz w:val="22"/>
                <w:szCs w:val="24"/>
                <w:highlight w:val="none"/>
                <w:lang w:eastAsia="zh-CN"/>
              </w:rPr>
            </w:pPr>
            <w:r>
              <w:rPr>
                <w:rFonts w:hint="eastAsia" w:ascii="Times New Roman" w:hAnsi="Times New Roman" w:eastAsia="仿宋_GB2312" w:cs="Calibri"/>
                <w:color w:val="auto"/>
                <w:kern w:val="0"/>
                <w:sz w:val="22"/>
                <w:szCs w:val="24"/>
                <w:highlight w:val="none"/>
                <w:lang w:val="en-US" w:eastAsia="zh-CN"/>
              </w:rPr>
              <w:t>0</w:t>
            </w:r>
          </w:p>
        </w:tc>
      </w:tr>
      <w:tr w14:paraId="681A9414">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57893A8">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s="宋体"/>
                <w:color w:val="auto"/>
                <w:kern w:val="0"/>
                <w:sz w:val="22"/>
                <w:szCs w:val="24"/>
                <w:highlight w:val="none"/>
              </w:rPr>
            </w:pPr>
            <w:r>
              <w:rPr>
                <w:rFonts w:hint="eastAsia" w:ascii="Times New Roman" w:hAnsi="Times New Roman" w:eastAsia="黑体" w:cs="宋体"/>
                <w:color w:val="auto"/>
                <w:kern w:val="0"/>
                <w:sz w:val="22"/>
                <w:szCs w:val="24"/>
                <w:highlight w:val="none"/>
              </w:rPr>
              <w:t>第二十条第（八）项</w:t>
            </w:r>
          </w:p>
        </w:tc>
      </w:tr>
      <w:tr w14:paraId="249F244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44D280C">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highlight w:val="none"/>
              </w:rPr>
            </w:pPr>
            <w:r>
              <w:rPr>
                <w:rFonts w:hint="eastAsia" w:ascii="Times New Roman" w:hAnsi="Times New Roman" w:eastAsia="仿宋_GB2312" w:cs="宋体"/>
                <w:color w:val="000000"/>
                <w:kern w:val="0"/>
                <w:sz w:val="22"/>
                <w:szCs w:val="24"/>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67B77A">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auto"/>
                <w:kern w:val="0"/>
                <w:sz w:val="22"/>
                <w:szCs w:val="24"/>
                <w:highlight w:val="none"/>
              </w:rPr>
            </w:pPr>
            <w:r>
              <w:rPr>
                <w:rFonts w:hint="eastAsia" w:ascii="Times New Roman" w:hAnsi="Times New Roman" w:eastAsia="仿宋_GB2312" w:cs="宋体"/>
                <w:color w:val="auto"/>
                <w:kern w:val="0"/>
                <w:sz w:val="22"/>
                <w:szCs w:val="24"/>
                <w:highlight w:val="none"/>
              </w:rPr>
              <w:t>本年收费金额（单位：万元）</w:t>
            </w:r>
          </w:p>
        </w:tc>
      </w:tr>
      <w:tr w14:paraId="333CC9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A2F58C5">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s="宋体"/>
                <w:color w:val="000000"/>
                <w:kern w:val="0"/>
                <w:sz w:val="22"/>
                <w:szCs w:val="24"/>
                <w:highlight w:val="none"/>
              </w:rPr>
            </w:pPr>
            <w:r>
              <w:rPr>
                <w:rFonts w:hint="eastAsia" w:ascii="Times New Roman" w:hAnsi="Times New Roman" w:eastAsia="仿宋_GB2312" w:cs="宋体"/>
                <w:color w:val="000000"/>
                <w:kern w:val="0"/>
                <w:sz w:val="22"/>
                <w:szCs w:val="24"/>
                <w:highlight w:val="none"/>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AF7D13">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Times New Roman" w:hAnsi="Times New Roman" w:eastAsia="仿宋_GB2312" w:cs="Calibri"/>
                <w:color w:val="auto"/>
                <w:kern w:val="0"/>
                <w:sz w:val="22"/>
                <w:szCs w:val="24"/>
                <w:highlight w:val="none"/>
                <w:lang w:eastAsia="zh-CN"/>
              </w:rPr>
            </w:pPr>
            <w:r>
              <w:rPr>
                <w:rFonts w:hint="eastAsia" w:ascii="Times New Roman" w:hAnsi="Times New Roman" w:eastAsia="仿宋_GB2312" w:cs="Calibri"/>
                <w:color w:val="auto"/>
                <w:kern w:val="0"/>
                <w:sz w:val="22"/>
                <w:szCs w:val="24"/>
                <w:highlight w:val="none"/>
                <w:lang w:val="en-US" w:eastAsia="zh-CN"/>
              </w:rPr>
              <w:t>0</w:t>
            </w:r>
          </w:p>
        </w:tc>
      </w:tr>
    </w:tbl>
    <w:p w14:paraId="7014FCA5">
      <w:pPr>
        <w:keepNext w:val="0"/>
        <w:keepLines w:val="0"/>
        <w:pageBreakBefore w:val="0"/>
        <w:numPr>
          <w:ilvl w:val="0"/>
          <w:numId w:val="0"/>
        </w:numPr>
        <w:kinsoku/>
        <w:overflowPunct/>
        <w:topLinePunct w:val="0"/>
        <w:autoSpaceDE/>
        <w:autoSpaceDN/>
        <w:bidi w:val="0"/>
        <w:adjustRightInd/>
        <w:snapToGrid/>
        <w:spacing w:line="580" w:lineRule="exact"/>
        <w:ind w:right="-96" w:rightChars="-50"/>
        <w:textAlignment w:val="auto"/>
        <w:rPr>
          <w:rFonts w:hint="eastAsia" w:ascii="Times New Roman" w:hAnsi="Times New Roman" w:eastAsia="方正黑体简体"/>
          <w:b/>
          <w:color w:val="000000" w:themeColor="text1"/>
          <w:sz w:val="32"/>
          <w:szCs w:val="32"/>
          <w:highlight w:val="none"/>
          <w14:textFill>
            <w14:solidFill>
              <w14:schemeClr w14:val="tx1"/>
            </w14:solidFill>
          </w14:textFill>
        </w:rPr>
      </w:pPr>
    </w:p>
    <w:p w14:paraId="089E99DB">
      <w:pPr>
        <w:keepNext w:val="0"/>
        <w:keepLines w:val="0"/>
        <w:pageBreakBefore w:val="0"/>
        <w:numPr>
          <w:ilvl w:val="0"/>
          <w:numId w:val="3"/>
        </w:numPr>
        <w:kinsoku/>
        <w:overflowPunct/>
        <w:topLinePunct w:val="0"/>
        <w:autoSpaceDE/>
        <w:autoSpaceDN/>
        <w:bidi w:val="0"/>
        <w:adjustRightInd/>
        <w:snapToGrid/>
        <w:spacing w:before="62" w:beforeLines="10" w:after="62" w:afterLines="10" w:line="580" w:lineRule="exact"/>
        <w:ind w:left="0" w:leftChars="0" w:firstLine="624" w:firstLineChars="200"/>
        <w:textAlignment w:val="auto"/>
        <w:rPr>
          <w:rFonts w:hint="eastAsia" w:ascii="Times New Roman" w:hAnsi="Times New Roman" w:eastAsia="方正黑体简体"/>
          <w:b/>
          <w:sz w:val="32"/>
          <w:szCs w:val="32"/>
          <w:highlight w:val="none"/>
        </w:rPr>
      </w:pPr>
      <w:r>
        <w:rPr>
          <w:rFonts w:hint="eastAsia" w:ascii="Times New Roman" w:hAnsi="Times New Roman" w:eastAsia="方正黑体简体"/>
          <w:b/>
          <w:sz w:val="32"/>
          <w:szCs w:val="32"/>
          <w:highlight w:val="none"/>
        </w:rPr>
        <w:t>收到和处理政府信息公开申请情况</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20FA6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6BDCE215">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楷体_GB2312"/>
                <w:color w:val="auto"/>
                <w:kern w:val="0"/>
                <w:szCs w:val="21"/>
                <w:highlight w:val="none"/>
              </w:rPr>
            </w:pPr>
            <w:r>
              <w:rPr>
                <w:rFonts w:hint="eastAsia" w:ascii="Times New Roman" w:hAnsi="Times New Roman" w:eastAsia="楷体_GB2312"/>
                <w:color w:val="auto"/>
                <w:kern w:val="0"/>
                <w:szCs w:val="21"/>
                <w:highlight w:val="none"/>
              </w:rPr>
              <w:t>（本列数据的勾稽关系为：第一项加第二项之和，</w:t>
            </w:r>
          </w:p>
          <w:p w14:paraId="1FFE8444">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仿宋_GB2312"/>
                <w:color w:val="auto"/>
                <w:szCs w:val="21"/>
                <w:highlight w:val="none"/>
              </w:rPr>
            </w:pPr>
            <w:r>
              <w:rPr>
                <w:rFonts w:hint="eastAsia" w:ascii="Times New Roman" w:hAnsi="Times New Roman" w:eastAsia="楷体_GB2312"/>
                <w:color w:val="auto"/>
                <w:kern w:val="0"/>
                <w:szCs w:val="21"/>
                <w:highlight w:val="none"/>
              </w:rPr>
              <w:t>等于第三项加第四项之和）</w:t>
            </w:r>
          </w:p>
        </w:tc>
        <w:tc>
          <w:tcPr>
            <w:tcW w:w="4448" w:type="dxa"/>
            <w:gridSpan w:val="10"/>
            <w:shd w:val="clear" w:color="auto" w:fill="auto"/>
            <w:tcMar>
              <w:left w:w="108" w:type="dxa"/>
              <w:right w:w="108" w:type="dxa"/>
            </w:tcMar>
            <w:vAlign w:val="center"/>
          </w:tcPr>
          <w:p w14:paraId="7E294069">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申请人情况</w:t>
            </w:r>
          </w:p>
        </w:tc>
      </w:tr>
      <w:tr w14:paraId="5E987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214F64BC">
            <w:pPr>
              <w:keepNext w:val="0"/>
              <w:keepLines w:val="0"/>
              <w:pageBreakBefore w:val="0"/>
              <w:kinsoku/>
              <w:overflowPunct/>
              <w:topLinePunct w:val="0"/>
              <w:autoSpaceDE/>
              <w:autoSpaceDN/>
              <w:bidi w:val="0"/>
              <w:adjustRightInd/>
              <w:snapToGrid/>
              <w:spacing w:line="580" w:lineRule="exact"/>
              <w:jc w:val="center"/>
              <w:textAlignment w:val="auto"/>
              <w:rPr>
                <w:rFonts w:ascii="Times New Roman" w:hAnsi="Times New Roman" w:eastAsia="仿宋_GB2312"/>
                <w:color w:val="auto"/>
                <w:szCs w:val="21"/>
                <w:highlight w:val="none"/>
              </w:rPr>
            </w:pPr>
          </w:p>
        </w:tc>
        <w:tc>
          <w:tcPr>
            <w:tcW w:w="747" w:type="dxa"/>
            <w:vMerge w:val="restart"/>
            <w:shd w:val="clear" w:color="auto" w:fill="auto"/>
            <w:tcMar>
              <w:left w:w="108" w:type="dxa"/>
              <w:right w:w="108" w:type="dxa"/>
            </w:tcMar>
            <w:vAlign w:val="center"/>
          </w:tcPr>
          <w:p w14:paraId="5D483EBE">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自然人</w:t>
            </w:r>
          </w:p>
        </w:tc>
        <w:tc>
          <w:tcPr>
            <w:tcW w:w="3000" w:type="dxa"/>
            <w:gridSpan w:val="7"/>
            <w:shd w:val="clear" w:color="auto" w:fill="auto"/>
            <w:tcMar>
              <w:left w:w="108" w:type="dxa"/>
              <w:right w:w="108" w:type="dxa"/>
            </w:tcMar>
            <w:vAlign w:val="center"/>
          </w:tcPr>
          <w:p w14:paraId="66478E5C">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法人或其他组织</w:t>
            </w:r>
          </w:p>
        </w:tc>
        <w:tc>
          <w:tcPr>
            <w:tcW w:w="701" w:type="dxa"/>
            <w:gridSpan w:val="2"/>
            <w:vMerge w:val="restart"/>
            <w:shd w:val="clear" w:color="auto" w:fill="auto"/>
            <w:tcMar>
              <w:left w:w="108" w:type="dxa"/>
              <w:right w:w="108" w:type="dxa"/>
            </w:tcMar>
            <w:vAlign w:val="center"/>
          </w:tcPr>
          <w:p w14:paraId="3D3D1BD9">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总计</w:t>
            </w:r>
          </w:p>
        </w:tc>
      </w:tr>
      <w:tr w14:paraId="7D7F2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7AFC635E">
            <w:pPr>
              <w:keepNext w:val="0"/>
              <w:keepLines w:val="0"/>
              <w:pageBreakBefore w:val="0"/>
              <w:kinsoku/>
              <w:overflowPunct/>
              <w:topLinePunct w:val="0"/>
              <w:autoSpaceDE/>
              <w:autoSpaceDN/>
              <w:bidi w:val="0"/>
              <w:adjustRightInd/>
              <w:snapToGrid/>
              <w:spacing w:line="580" w:lineRule="exact"/>
              <w:jc w:val="center"/>
              <w:textAlignment w:val="auto"/>
              <w:rPr>
                <w:rFonts w:ascii="Times New Roman" w:hAnsi="Times New Roman" w:eastAsia="仿宋_GB2312"/>
                <w:color w:val="auto"/>
                <w:szCs w:val="21"/>
                <w:highlight w:val="none"/>
              </w:rPr>
            </w:pPr>
          </w:p>
        </w:tc>
        <w:tc>
          <w:tcPr>
            <w:tcW w:w="747" w:type="dxa"/>
            <w:vMerge w:val="continue"/>
            <w:shd w:val="clear" w:color="auto" w:fill="auto"/>
            <w:tcMar>
              <w:left w:w="108" w:type="dxa"/>
              <w:right w:w="108" w:type="dxa"/>
            </w:tcMar>
            <w:vAlign w:val="center"/>
          </w:tcPr>
          <w:p w14:paraId="69661658">
            <w:pPr>
              <w:keepNext w:val="0"/>
              <w:keepLines w:val="0"/>
              <w:pageBreakBefore w:val="0"/>
              <w:kinsoku/>
              <w:overflowPunct/>
              <w:topLinePunct w:val="0"/>
              <w:autoSpaceDE/>
              <w:autoSpaceDN/>
              <w:bidi w:val="0"/>
              <w:adjustRightInd/>
              <w:snapToGrid/>
              <w:spacing w:line="580" w:lineRule="exact"/>
              <w:jc w:val="center"/>
              <w:textAlignment w:val="auto"/>
              <w:rPr>
                <w:rFonts w:ascii="Times New Roman" w:hAnsi="Times New Roman" w:eastAsia="黑体"/>
                <w:color w:val="auto"/>
                <w:szCs w:val="21"/>
                <w:highlight w:val="none"/>
              </w:rPr>
            </w:pPr>
          </w:p>
        </w:tc>
        <w:tc>
          <w:tcPr>
            <w:tcW w:w="540" w:type="dxa"/>
            <w:gridSpan w:val="2"/>
            <w:shd w:val="clear" w:color="auto" w:fill="auto"/>
            <w:tcMar>
              <w:left w:w="108" w:type="dxa"/>
              <w:right w:w="108" w:type="dxa"/>
            </w:tcMar>
            <w:vAlign w:val="center"/>
          </w:tcPr>
          <w:p w14:paraId="1A0FBF51">
            <w:pPr>
              <w:keepNext w:val="0"/>
              <w:keepLines w:val="0"/>
              <w:pageBreakBefore w:val="0"/>
              <w:widowControl/>
              <w:kinsoku/>
              <w:overflowPunct/>
              <w:topLinePunct w:val="0"/>
              <w:autoSpaceDE/>
              <w:autoSpaceDN/>
              <w:bidi w:val="0"/>
              <w:adjustRightInd/>
              <w:snapToGrid/>
              <w:spacing w:line="580" w:lineRule="exact"/>
              <w:ind w:left="-96" w:leftChars="-51" w:right="-97" w:rightChars="-51" w:hanging="1"/>
              <w:jc w:val="center"/>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商业企业</w:t>
            </w:r>
          </w:p>
        </w:tc>
        <w:tc>
          <w:tcPr>
            <w:tcW w:w="540" w:type="dxa"/>
            <w:gridSpan w:val="2"/>
            <w:shd w:val="clear" w:color="auto" w:fill="auto"/>
            <w:tcMar>
              <w:left w:w="108" w:type="dxa"/>
              <w:right w:w="108" w:type="dxa"/>
            </w:tcMar>
            <w:vAlign w:val="center"/>
          </w:tcPr>
          <w:p w14:paraId="04194513">
            <w:pPr>
              <w:keepNext w:val="0"/>
              <w:keepLines w:val="0"/>
              <w:pageBreakBefore w:val="0"/>
              <w:widowControl/>
              <w:kinsoku/>
              <w:overflowPunct/>
              <w:topLinePunct w:val="0"/>
              <w:autoSpaceDE/>
              <w:autoSpaceDN/>
              <w:bidi w:val="0"/>
              <w:adjustRightInd/>
              <w:snapToGrid/>
              <w:spacing w:line="580" w:lineRule="exact"/>
              <w:ind w:left="-97" w:leftChars="-51" w:right="-97" w:rightChars="-51"/>
              <w:jc w:val="center"/>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科研机构</w:t>
            </w:r>
          </w:p>
        </w:tc>
        <w:tc>
          <w:tcPr>
            <w:tcW w:w="720" w:type="dxa"/>
            <w:shd w:val="clear" w:color="auto" w:fill="auto"/>
            <w:tcMar>
              <w:left w:w="108" w:type="dxa"/>
              <w:right w:w="108" w:type="dxa"/>
            </w:tcMar>
            <w:vAlign w:val="center"/>
          </w:tcPr>
          <w:p w14:paraId="60A90241">
            <w:pPr>
              <w:keepNext w:val="0"/>
              <w:keepLines w:val="0"/>
              <w:pageBreakBefore w:val="0"/>
              <w:widowControl/>
              <w:kinsoku/>
              <w:overflowPunct/>
              <w:topLinePunct w:val="0"/>
              <w:autoSpaceDE/>
              <w:autoSpaceDN/>
              <w:bidi w:val="0"/>
              <w:adjustRightInd/>
              <w:snapToGrid/>
              <w:spacing w:line="580" w:lineRule="exact"/>
              <w:ind w:left="-97" w:leftChars="-51" w:right="-97" w:rightChars="-51"/>
              <w:jc w:val="center"/>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社会公益组织</w:t>
            </w:r>
          </w:p>
        </w:tc>
        <w:tc>
          <w:tcPr>
            <w:tcW w:w="675" w:type="dxa"/>
            <w:shd w:val="clear" w:color="auto" w:fill="auto"/>
            <w:tcMar>
              <w:left w:w="108" w:type="dxa"/>
              <w:right w:w="108" w:type="dxa"/>
            </w:tcMar>
            <w:vAlign w:val="center"/>
          </w:tcPr>
          <w:p w14:paraId="1935446F">
            <w:pPr>
              <w:keepNext w:val="0"/>
              <w:keepLines w:val="0"/>
              <w:pageBreakBefore w:val="0"/>
              <w:widowControl/>
              <w:kinsoku/>
              <w:overflowPunct/>
              <w:topLinePunct w:val="0"/>
              <w:autoSpaceDE/>
              <w:autoSpaceDN/>
              <w:bidi w:val="0"/>
              <w:adjustRightInd/>
              <w:snapToGrid/>
              <w:spacing w:line="580" w:lineRule="exact"/>
              <w:ind w:left="-96" w:leftChars="-51" w:right="-97" w:rightChars="-51" w:hanging="1"/>
              <w:jc w:val="center"/>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法律服务机构</w:t>
            </w:r>
          </w:p>
        </w:tc>
        <w:tc>
          <w:tcPr>
            <w:tcW w:w="525" w:type="dxa"/>
            <w:shd w:val="clear" w:color="auto" w:fill="auto"/>
            <w:tcMar>
              <w:left w:w="108" w:type="dxa"/>
              <w:right w:w="108" w:type="dxa"/>
            </w:tcMar>
            <w:vAlign w:val="center"/>
          </w:tcPr>
          <w:p w14:paraId="3519D9A0">
            <w:pPr>
              <w:keepNext w:val="0"/>
              <w:keepLines w:val="0"/>
              <w:pageBreakBefore w:val="0"/>
              <w:widowControl/>
              <w:kinsoku/>
              <w:overflowPunct/>
              <w:topLinePunct w:val="0"/>
              <w:autoSpaceDE/>
              <w:autoSpaceDN/>
              <w:bidi w:val="0"/>
              <w:adjustRightInd/>
              <w:snapToGrid/>
              <w:spacing w:line="580" w:lineRule="exact"/>
              <w:ind w:left="-57" w:leftChars="-30" w:right="-122" w:rightChars="-64"/>
              <w:jc w:val="center"/>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其他</w:t>
            </w:r>
          </w:p>
        </w:tc>
        <w:tc>
          <w:tcPr>
            <w:tcW w:w="701" w:type="dxa"/>
            <w:gridSpan w:val="2"/>
            <w:vMerge w:val="continue"/>
            <w:shd w:val="clear" w:color="auto" w:fill="auto"/>
            <w:tcMar>
              <w:left w:w="108" w:type="dxa"/>
              <w:right w:w="108" w:type="dxa"/>
            </w:tcMar>
            <w:vAlign w:val="center"/>
          </w:tcPr>
          <w:p w14:paraId="250CFE25">
            <w:pPr>
              <w:keepNext w:val="0"/>
              <w:keepLines w:val="0"/>
              <w:pageBreakBefore w:val="0"/>
              <w:kinsoku/>
              <w:overflowPunct/>
              <w:topLinePunct w:val="0"/>
              <w:autoSpaceDE/>
              <w:autoSpaceDN/>
              <w:bidi w:val="0"/>
              <w:adjustRightInd/>
              <w:snapToGrid/>
              <w:spacing w:line="580" w:lineRule="exact"/>
              <w:jc w:val="center"/>
              <w:textAlignment w:val="auto"/>
              <w:rPr>
                <w:rFonts w:ascii="Times New Roman" w:hAnsi="Times New Roman" w:eastAsia="仿宋_GB2312"/>
                <w:color w:val="auto"/>
                <w:szCs w:val="21"/>
                <w:highlight w:val="none"/>
              </w:rPr>
            </w:pPr>
          </w:p>
        </w:tc>
      </w:tr>
      <w:tr w14:paraId="00B8E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02A0D0B0">
            <w:pPr>
              <w:keepNext w:val="0"/>
              <w:keepLines w:val="0"/>
              <w:pageBreakBefore w:val="0"/>
              <w:widowControl/>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一、</w:t>
            </w:r>
            <w:bookmarkStart w:id="0" w:name="_Hlk66973412"/>
            <w:r>
              <w:rPr>
                <w:rFonts w:hint="eastAsia" w:ascii="Times New Roman" w:hAnsi="Times New Roman" w:eastAsia="黑体"/>
                <w:color w:val="auto"/>
                <w:kern w:val="0"/>
                <w:szCs w:val="21"/>
                <w:highlight w:val="none"/>
              </w:rPr>
              <w:t>本年新收政府信息公开申请数量</w:t>
            </w:r>
            <w:bookmarkEnd w:id="0"/>
          </w:p>
        </w:tc>
        <w:tc>
          <w:tcPr>
            <w:tcW w:w="747" w:type="dxa"/>
            <w:shd w:val="clear" w:color="auto" w:fill="auto"/>
            <w:tcMar>
              <w:left w:w="108" w:type="dxa"/>
              <w:right w:w="108" w:type="dxa"/>
            </w:tcMar>
            <w:vAlign w:val="center"/>
          </w:tcPr>
          <w:p w14:paraId="038A370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rPr>
            </w:pPr>
            <w:r>
              <w:rPr>
                <w:rFonts w:hint="eastAsia" w:ascii="Times New Roman" w:hAnsi="Times New Roman" w:eastAsia="仿宋_GB2312" w:cs="Times New Roman"/>
                <w:color w:val="auto"/>
                <w:sz w:val="21"/>
                <w:szCs w:val="22"/>
                <w:highlight w:val="none"/>
                <w:lang w:val="en-US" w:eastAsia="zh-CN"/>
              </w:rPr>
              <w:t>30</w:t>
            </w:r>
          </w:p>
        </w:tc>
        <w:tc>
          <w:tcPr>
            <w:tcW w:w="540" w:type="dxa"/>
            <w:gridSpan w:val="2"/>
            <w:shd w:val="clear" w:color="auto" w:fill="auto"/>
            <w:tcMar>
              <w:left w:w="108" w:type="dxa"/>
              <w:right w:w="108" w:type="dxa"/>
            </w:tcMar>
            <w:vAlign w:val="center"/>
          </w:tcPr>
          <w:p w14:paraId="513A254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rPr>
            </w:pPr>
            <w:r>
              <w:rPr>
                <w:rFonts w:hint="eastAsia" w:ascii="Times New Roman" w:hAnsi="Times New Roman" w:eastAsia="仿宋_GB2312" w:cs="Times New Roman"/>
                <w:color w:val="auto"/>
                <w:sz w:val="21"/>
                <w:szCs w:val="22"/>
                <w:highlight w:val="none"/>
                <w:lang w:val="en-US" w:eastAsia="zh-CN"/>
              </w:rPr>
              <w:t>2</w:t>
            </w:r>
          </w:p>
        </w:tc>
        <w:tc>
          <w:tcPr>
            <w:tcW w:w="540" w:type="dxa"/>
            <w:gridSpan w:val="2"/>
            <w:shd w:val="clear" w:color="auto" w:fill="auto"/>
            <w:tcMar>
              <w:left w:w="108" w:type="dxa"/>
              <w:right w:w="108" w:type="dxa"/>
            </w:tcMar>
            <w:vAlign w:val="center"/>
          </w:tcPr>
          <w:p w14:paraId="218CA41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449D1CF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4586273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6BBA022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1771D70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rPr>
            </w:pPr>
            <w:r>
              <w:rPr>
                <w:rFonts w:hint="eastAsia" w:ascii="Times New Roman" w:hAnsi="Times New Roman" w:eastAsia="仿宋_GB2312" w:cs="Times New Roman"/>
                <w:color w:val="auto"/>
                <w:sz w:val="21"/>
                <w:szCs w:val="22"/>
                <w:highlight w:val="none"/>
                <w:lang w:val="en-US" w:eastAsia="zh-CN"/>
              </w:rPr>
              <w:t>32</w:t>
            </w:r>
          </w:p>
        </w:tc>
      </w:tr>
      <w:tr w14:paraId="0647BA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0C8EB7D1">
            <w:pPr>
              <w:keepNext w:val="0"/>
              <w:keepLines w:val="0"/>
              <w:pageBreakBefore w:val="0"/>
              <w:widowControl/>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二、上年结转政府信息公开申请数量</w:t>
            </w:r>
          </w:p>
        </w:tc>
        <w:tc>
          <w:tcPr>
            <w:tcW w:w="747" w:type="dxa"/>
            <w:shd w:val="clear" w:color="auto" w:fill="auto"/>
            <w:tcMar>
              <w:left w:w="108" w:type="dxa"/>
              <w:right w:w="108" w:type="dxa"/>
            </w:tcMar>
            <w:vAlign w:val="center"/>
          </w:tcPr>
          <w:p w14:paraId="4B03B1C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rPr>
              <w:t>1</w:t>
            </w:r>
          </w:p>
        </w:tc>
        <w:tc>
          <w:tcPr>
            <w:tcW w:w="540" w:type="dxa"/>
            <w:gridSpan w:val="2"/>
            <w:shd w:val="clear" w:color="auto" w:fill="auto"/>
            <w:tcMar>
              <w:left w:w="108" w:type="dxa"/>
              <w:right w:w="108" w:type="dxa"/>
            </w:tcMar>
            <w:vAlign w:val="center"/>
          </w:tcPr>
          <w:p w14:paraId="017D8C9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19FF816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5C50EE8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2F3A678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6ACF25D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432FC90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rPr>
              <w:t>1</w:t>
            </w:r>
          </w:p>
        </w:tc>
      </w:tr>
      <w:tr w14:paraId="0D3A34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3AA72067">
            <w:pPr>
              <w:keepNext w:val="0"/>
              <w:keepLines w:val="0"/>
              <w:pageBreakBefore w:val="0"/>
              <w:widowControl/>
              <w:kinsoku/>
              <w:overflowPunct/>
              <w:topLinePunct w:val="0"/>
              <w:autoSpaceDE/>
              <w:autoSpaceDN/>
              <w:bidi w:val="0"/>
              <w:adjustRightInd/>
              <w:snapToGrid/>
              <w:spacing w:after="180" w:line="580" w:lineRule="exact"/>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三、本年度办理结果</w:t>
            </w:r>
          </w:p>
        </w:tc>
        <w:tc>
          <w:tcPr>
            <w:tcW w:w="4677" w:type="dxa"/>
            <w:gridSpan w:val="2"/>
            <w:shd w:val="clear" w:color="auto" w:fill="auto"/>
            <w:tcMar>
              <w:left w:w="108" w:type="dxa"/>
              <w:right w:w="108" w:type="dxa"/>
            </w:tcMar>
            <w:vAlign w:val="center"/>
          </w:tcPr>
          <w:p w14:paraId="5BB08B3A">
            <w:pPr>
              <w:keepNext w:val="0"/>
              <w:keepLines w:val="0"/>
              <w:pageBreakBefore w:val="0"/>
              <w:widowControl/>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（一）予以公开</w:t>
            </w:r>
          </w:p>
        </w:tc>
        <w:tc>
          <w:tcPr>
            <w:tcW w:w="752" w:type="dxa"/>
            <w:gridSpan w:val="2"/>
            <w:shd w:val="clear" w:color="auto" w:fill="auto"/>
            <w:tcMar>
              <w:left w:w="108" w:type="dxa"/>
              <w:right w:w="108" w:type="dxa"/>
            </w:tcMar>
            <w:vAlign w:val="center"/>
          </w:tcPr>
          <w:p w14:paraId="3CE3539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rPr>
              <w:t>13</w:t>
            </w:r>
          </w:p>
        </w:tc>
        <w:tc>
          <w:tcPr>
            <w:tcW w:w="540" w:type="dxa"/>
            <w:gridSpan w:val="2"/>
            <w:shd w:val="clear" w:color="auto" w:fill="auto"/>
            <w:tcMar>
              <w:left w:w="108" w:type="dxa"/>
              <w:right w:w="108" w:type="dxa"/>
            </w:tcMar>
            <w:vAlign w:val="center"/>
          </w:tcPr>
          <w:p w14:paraId="1A7559A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rPr>
              <w:t>1</w:t>
            </w:r>
          </w:p>
        </w:tc>
        <w:tc>
          <w:tcPr>
            <w:tcW w:w="535" w:type="dxa"/>
            <w:shd w:val="clear" w:color="auto" w:fill="auto"/>
            <w:tcMar>
              <w:left w:w="108" w:type="dxa"/>
              <w:right w:w="108" w:type="dxa"/>
            </w:tcMar>
            <w:vAlign w:val="center"/>
          </w:tcPr>
          <w:p w14:paraId="5404669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5096232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0AFAA2E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26" w:type="dxa"/>
            <w:gridSpan w:val="2"/>
            <w:shd w:val="clear" w:color="auto" w:fill="auto"/>
            <w:tcMar>
              <w:left w:w="108" w:type="dxa"/>
              <w:right w:w="108" w:type="dxa"/>
            </w:tcMar>
            <w:vAlign w:val="center"/>
          </w:tcPr>
          <w:p w14:paraId="66155A9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00" w:type="dxa"/>
            <w:shd w:val="clear" w:color="auto" w:fill="auto"/>
            <w:tcMar>
              <w:left w:w="108" w:type="dxa"/>
              <w:right w:w="108" w:type="dxa"/>
            </w:tcMar>
            <w:vAlign w:val="center"/>
          </w:tcPr>
          <w:p w14:paraId="4E12BD3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rPr>
              <w:t>14</w:t>
            </w:r>
          </w:p>
        </w:tc>
      </w:tr>
      <w:tr w14:paraId="1DC7A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8A20391">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4677" w:type="dxa"/>
            <w:gridSpan w:val="2"/>
            <w:shd w:val="clear" w:color="auto" w:fill="auto"/>
            <w:tcMar>
              <w:left w:w="108" w:type="dxa"/>
              <w:right w:w="108" w:type="dxa"/>
            </w:tcMar>
            <w:vAlign w:val="center"/>
          </w:tcPr>
          <w:p w14:paraId="2B49C9A0">
            <w:pPr>
              <w:keepNext w:val="0"/>
              <w:keepLines w:val="0"/>
              <w:pageBreakBefore w:val="0"/>
              <w:widowControl/>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（二）部分公开（</w:t>
            </w:r>
            <w:bookmarkStart w:id="1" w:name="_Hlk66973981"/>
            <w:r>
              <w:rPr>
                <w:rFonts w:hint="eastAsia" w:ascii="Times New Roman" w:hAnsi="Times New Roman" w:eastAsia="黑体"/>
                <w:color w:val="auto"/>
                <w:kern w:val="0"/>
                <w:szCs w:val="21"/>
                <w:highlight w:val="none"/>
              </w:rPr>
              <w:t>区分处理的，只计这一情形，不计其他情形</w:t>
            </w:r>
            <w:bookmarkEnd w:id="1"/>
            <w:r>
              <w:rPr>
                <w:rFonts w:hint="eastAsia" w:ascii="Times New Roman" w:hAnsi="Times New Roman" w:eastAsia="黑体"/>
                <w:color w:val="auto"/>
                <w:kern w:val="0"/>
                <w:szCs w:val="21"/>
                <w:highlight w:val="none"/>
              </w:rPr>
              <w:t>）</w:t>
            </w:r>
          </w:p>
        </w:tc>
        <w:tc>
          <w:tcPr>
            <w:tcW w:w="752" w:type="dxa"/>
            <w:gridSpan w:val="2"/>
            <w:shd w:val="clear" w:color="auto" w:fill="auto"/>
            <w:tcMar>
              <w:left w:w="108" w:type="dxa"/>
              <w:right w:w="108" w:type="dxa"/>
            </w:tcMar>
            <w:vAlign w:val="center"/>
          </w:tcPr>
          <w:p w14:paraId="320DD33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rPr>
              <w:t>9</w:t>
            </w:r>
          </w:p>
        </w:tc>
        <w:tc>
          <w:tcPr>
            <w:tcW w:w="540" w:type="dxa"/>
            <w:gridSpan w:val="2"/>
            <w:shd w:val="clear" w:color="auto" w:fill="auto"/>
            <w:tcMar>
              <w:left w:w="108" w:type="dxa"/>
              <w:right w:w="108" w:type="dxa"/>
            </w:tcMar>
            <w:vAlign w:val="center"/>
          </w:tcPr>
          <w:p w14:paraId="21AF720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35" w:type="dxa"/>
            <w:shd w:val="clear" w:color="auto" w:fill="auto"/>
            <w:tcMar>
              <w:left w:w="108" w:type="dxa"/>
              <w:right w:w="108" w:type="dxa"/>
            </w:tcMar>
            <w:vAlign w:val="center"/>
          </w:tcPr>
          <w:p w14:paraId="1A17215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3126C51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63A0D3C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26" w:type="dxa"/>
            <w:gridSpan w:val="2"/>
            <w:shd w:val="clear" w:color="auto" w:fill="auto"/>
            <w:tcMar>
              <w:left w:w="108" w:type="dxa"/>
              <w:right w:w="108" w:type="dxa"/>
            </w:tcMar>
            <w:vAlign w:val="center"/>
          </w:tcPr>
          <w:p w14:paraId="338F63D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00" w:type="dxa"/>
            <w:shd w:val="clear" w:color="auto" w:fill="auto"/>
            <w:tcMar>
              <w:left w:w="108" w:type="dxa"/>
              <w:right w:w="108" w:type="dxa"/>
            </w:tcMar>
            <w:vAlign w:val="center"/>
          </w:tcPr>
          <w:p w14:paraId="74E6E53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rPr>
              <w:t>9</w:t>
            </w:r>
          </w:p>
        </w:tc>
      </w:tr>
      <w:tr w14:paraId="6C54EE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D23C968">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restart"/>
            <w:shd w:val="clear" w:color="auto" w:fill="auto"/>
            <w:tcMar>
              <w:left w:w="108" w:type="dxa"/>
              <w:right w:w="108" w:type="dxa"/>
            </w:tcMar>
            <w:vAlign w:val="center"/>
          </w:tcPr>
          <w:p w14:paraId="6DCB7374">
            <w:pPr>
              <w:keepNext w:val="0"/>
              <w:keepLines w:val="0"/>
              <w:pageBreakBefore w:val="0"/>
              <w:widowControl/>
              <w:kinsoku/>
              <w:overflowPunct/>
              <w:topLinePunct w:val="0"/>
              <w:autoSpaceDE/>
              <w:autoSpaceDN/>
              <w:bidi w:val="0"/>
              <w:adjustRightInd/>
              <w:snapToGrid/>
              <w:spacing w:line="580" w:lineRule="exact"/>
              <w:ind w:left="-97" w:leftChars="-51"/>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（三）不予公开</w:t>
            </w:r>
          </w:p>
        </w:tc>
        <w:tc>
          <w:tcPr>
            <w:tcW w:w="2976" w:type="dxa"/>
            <w:shd w:val="clear" w:color="auto" w:fill="auto"/>
            <w:tcMar>
              <w:left w:w="108" w:type="dxa"/>
              <w:right w:w="108" w:type="dxa"/>
            </w:tcMar>
            <w:vAlign w:val="center"/>
          </w:tcPr>
          <w:p w14:paraId="29196C30">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1.属于国家秘密</w:t>
            </w:r>
          </w:p>
        </w:tc>
        <w:tc>
          <w:tcPr>
            <w:tcW w:w="747" w:type="dxa"/>
            <w:shd w:val="clear" w:color="auto" w:fill="auto"/>
            <w:tcMar>
              <w:left w:w="108" w:type="dxa"/>
              <w:right w:w="108" w:type="dxa"/>
            </w:tcMar>
            <w:vAlign w:val="center"/>
          </w:tcPr>
          <w:p w14:paraId="79DE07D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6A5C18E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2819D14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17075B9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4F3F250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3F42B56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26861CC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56150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4B931CD">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2D9D71A6">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531013EF">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w:t>
            </w:r>
            <w:bookmarkStart w:id="2" w:name="_Hlk66974104"/>
            <w:r>
              <w:rPr>
                <w:rFonts w:hint="eastAsia" w:ascii="Times New Roman" w:hAnsi="Times New Roman" w:eastAsia="仿宋_GB2312"/>
                <w:color w:val="auto"/>
                <w:kern w:val="0"/>
                <w:szCs w:val="21"/>
                <w:highlight w:val="none"/>
              </w:rPr>
              <w:t>其他法律行政法规禁止公开</w:t>
            </w:r>
            <w:bookmarkEnd w:id="2"/>
          </w:p>
        </w:tc>
        <w:tc>
          <w:tcPr>
            <w:tcW w:w="747" w:type="dxa"/>
            <w:shd w:val="clear" w:color="auto" w:fill="auto"/>
            <w:tcMar>
              <w:left w:w="108" w:type="dxa"/>
              <w:right w:w="108" w:type="dxa"/>
            </w:tcMar>
            <w:vAlign w:val="center"/>
          </w:tcPr>
          <w:p w14:paraId="36A5DEF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494D87C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381F73B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3348BC8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374AA30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3C30B48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5DB87FF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46F8A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16C5E9F">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5B894633">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5164E204">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3.危及“三安全一稳定”</w:t>
            </w:r>
          </w:p>
        </w:tc>
        <w:tc>
          <w:tcPr>
            <w:tcW w:w="747" w:type="dxa"/>
            <w:shd w:val="clear" w:color="auto" w:fill="auto"/>
            <w:tcMar>
              <w:left w:w="108" w:type="dxa"/>
              <w:right w:w="108" w:type="dxa"/>
            </w:tcMar>
            <w:vAlign w:val="center"/>
          </w:tcPr>
          <w:p w14:paraId="01B4ABF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08EE85B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18BB7F0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67844B5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6DE8503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348DA70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6530F74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08121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55B8D5F">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3AC4F5DA">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589B15B2">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4.</w:t>
            </w:r>
            <w:bookmarkStart w:id="3" w:name="_Hlk66974290"/>
            <w:r>
              <w:rPr>
                <w:rFonts w:hint="eastAsia" w:ascii="Times New Roman" w:hAnsi="Times New Roman" w:eastAsia="仿宋_GB2312"/>
                <w:color w:val="auto"/>
                <w:kern w:val="0"/>
                <w:szCs w:val="21"/>
                <w:highlight w:val="none"/>
              </w:rPr>
              <w:t>保护第三方合法权益</w:t>
            </w:r>
            <w:bookmarkEnd w:id="3"/>
          </w:p>
        </w:tc>
        <w:tc>
          <w:tcPr>
            <w:tcW w:w="747" w:type="dxa"/>
            <w:shd w:val="clear" w:color="auto" w:fill="auto"/>
            <w:tcMar>
              <w:left w:w="108" w:type="dxa"/>
              <w:right w:w="108" w:type="dxa"/>
            </w:tcMar>
            <w:vAlign w:val="center"/>
          </w:tcPr>
          <w:p w14:paraId="7207FF4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4D4A7BC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1201C97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4AECCA1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1F58D60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626D7CB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6851DD2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0CE76F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4002D28">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13FF5130">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030728F5">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5.属于三类内部事务信息</w:t>
            </w:r>
          </w:p>
        </w:tc>
        <w:tc>
          <w:tcPr>
            <w:tcW w:w="747" w:type="dxa"/>
            <w:shd w:val="clear" w:color="auto" w:fill="auto"/>
            <w:tcMar>
              <w:left w:w="108" w:type="dxa"/>
              <w:right w:w="108" w:type="dxa"/>
            </w:tcMar>
            <w:vAlign w:val="center"/>
          </w:tcPr>
          <w:p w14:paraId="26D8BD8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0C3C9FC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2346E85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0223687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6B503D1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622B12B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4C83821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5DC8D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02CC675">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1B41CE86">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2345715A">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6.</w:t>
            </w:r>
            <w:bookmarkStart w:id="4" w:name="_Hlk66974555"/>
            <w:r>
              <w:rPr>
                <w:rFonts w:hint="eastAsia" w:ascii="Times New Roman" w:hAnsi="Times New Roman" w:eastAsia="仿宋_GB2312"/>
                <w:color w:val="auto"/>
                <w:kern w:val="0"/>
                <w:szCs w:val="21"/>
                <w:highlight w:val="none"/>
              </w:rPr>
              <w:t>属于四类过程性信息</w:t>
            </w:r>
            <w:bookmarkEnd w:id="4"/>
          </w:p>
        </w:tc>
        <w:tc>
          <w:tcPr>
            <w:tcW w:w="747" w:type="dxa"/>
            <w:shd w:val="clear" w:color="auto" w:fill="auto"/>
            <w:tcMar>
              <w:left w:w="108" w:type="dxa"/>
              <w:right w:w="108" w:type="dxa"/>
            </w:tcMar>
            <w:vAlign w:val="center"/>
          </w:tcPr>
          <w:p w14:paraId="6DF9D42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303C406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2FC030E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5C3E043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7541544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53EECAE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5A2F160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191FF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7D19CCE">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29A85711">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015A0ADD">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7.属于行政执法案卷</w:t>
            </w:r>
          </w:p>
        </w:tc>
        <w:tc>
          <w:tcPr>
            <w:tcW w:w="747" w:type="dxa"/>
            <w:shd w:val="clear" w:color="auto" w:fill="auto"/>
            <w:tcMar>
              <w:left w:w="108" w:type="dxa"/>
              <w:right w:w="108" w:type="dxa"/>
            </w:tcMar>
            <w:vAlign w:val="center"/>
          </w:tcPr>
          <w:p w14:paraId="1421C0C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3484BAD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1B9A97D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0979BED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0094CB4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1091093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24A9F74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1FFB2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B059488">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4D268949">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6867A539">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8.</w:t>
            </w:r>
            <w:bookmarkStart w:id="5" w:name="_Hlk66975211"/>
            <w:r>
              <w:rPr>
                <w:rFonts w:hint="eastAsia" w:ascii="Times New Roman" w:hAnsi="Times New Roman" w:eastAsia="仿宋_GB2312"/>
                <w:color w:val="auto"/>
                <w:kern w:val="0"/>
                <w:szCs w:val="21"/>
                <w:highlight w:val="none"/>
              </w:rPr>
              <w:t>属于行政查询事项</w:t>
            </w:r>
            <w:bookmarkEnd w:id="5"/>
          </w:p>
        </w:tc>
        <w:tc>
          <w:tcPr>
            <w:tcW w:w="747" w:type="dxa"/>
            <w:shd w:val="clear" w:color="auto" w:fill="auto"/>
            <w:tcMar>
              <w:left w:w="108" w:type="dxa"/>
              <w:right w:w="108" w:type="dxa"/>
            </w:tcMar>
            <w:vAlign w:val="center"/>
          </w:tcPr>
          <w:p w14:paraId="5C46C7D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42DE2F8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2B83041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5D4F621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52C7C8D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503D014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4B83BC0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5DB4C6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229CFF7">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restart"/>
            <w:shd w:val="clear" w:color="auto" w:fill="auto"/>
            <w:tcMar>
              <w:left w:w="108" w:type="dxa"/>
              <w:right w:w="108" w:type="dxa"/>
            </w:tcMar>
            <w:vAlign w:val="center"/>
          </w:tcPr>
          <w:p w14:paraId="00D89E9F">
            <w:pPr>
              <w:keepNext w:val="0"/>
              <w:keepLines w:val="0"/>
              <w:pageBreakBefore w:val="0"/>
              <w:widowControl/>
              <w:kinsoku/>
              <w:overflowPunct/>
              <w:topLinePunct w:val="0"/>
              <w:autoSpaceDE/>
              <w:autoSpaceDN/>
              <w:bidi w:val="0"/>
              <w:adjustRightInd/>
              <w:snapToGrid/>
              <w:spacing w:line="580" w:lineRule="exact"/>
              <w:ind w:left="-97" w:leftChars="-51"/>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（四）无法提供</w:t>
            </w:r>
          </w:p>
        </w:tc>
        <w:tc>
          <w:tcPr>
            <w:tcW w:w="2976" w:type="dxa"/>
            <w:shd w:val="clear" w:color="auto" w:fill="auto"/>
            <w:tcMar>
              <w:left w:w="108" w:type="dxa"/>
              <w:right w:w="108" w:type="dxa"/>
            </w:tcMar>
            <w:vAlign w:val="center"/>
          </w:tcPr>
          <w:p w14:paraId="2476951D">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1.本机关不掌握相关政府信息</w:t>
            </w:r>
          </w:p>
        </w:tc>
        <w:tc>
          <w:tcPr>
            <w:tcW w:w="747" w:type="dxa"/>
            <w:shd w:val="clear" w:color="auto" w:fill="auto"/>
            <w:tcMar>
              <w:left w:w="108" w:type="dxa"/>
              <w:right w:w="108" w:type="dxa"/>
            </w:tcMar>
            <w:vAlign w:val="center"/>
          </w:tcPr>
          <w:p w14:paraId="6C3A9B7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rPr>
            </w:pPr>
            <w:r>
              <w:rPr>
                <w:rFonts w:hint="eastAsia" w:ascii="Times New Roman" w:hAnsi="Times New Roman" w:eastAsia="仿宋_GB2312" w:cs="Times New Roman"/>
                <w:color w:val="auto"/>
                <w:sz w:val="21"/>
                <w:szCs w:val="22"/>
                <w:highlight w:val="none"/>
                <w:lang w:val="en-US" w:eastAsia="zh-CN"/>
              </w:rPr>
              <w:t>5</w:t>
            </w:r>
          </w:p>
        </w:tc>
        <w:tc>
          <w:tcPr>
            <w:tcW w:w="540" w:type="dxa"/>
            <w:gridSpan w:val="2"/>
            <w:shd w:val="clear" w:color="auto" w:fill="auto"/>
            <w:tcMar>
              <w:left w:w="108" w:type="dxa"/>
              <w:right w:w="108" w:type="dxa"/>
            </w:tcMar>
            <w:vAlign w:val="center"/>
          </w:tcPr>
          <w:p w14:paraId="193BB2F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eastAsia" w:ascii="Times New Roman" w:hAnsi="Times New Roman" w:eastAsia="仿宋_GB2312" w:cs="Times New Roman"/>
                <w:color w:val="auto"/>
                <w:sz w:val="21"/>
                <w:szCs w:val="22"/>
                <w:highlight w:val="none"/>
                <w:lang w:val="en-US" w:eastAsia="zh-CN"/>
              </w:rPr>
              <w:t>1</w:t>
            </w:r>
          </w:p>
        </w:tc>
        <w:tc>
          <w:tcPr>
            <w:tcW w:w="540" w:type="dxa"/>
            <w:gridSpan w:val="2"/>
            <w:shd w:val="clear" w:color="auto" w:fill="auto"/>
            <w:tcMar>
              <w:left w:w="108" w:type="dxa"/>
              <w:right w:w="108" w:type="dxa"/>
            </w:tcMar>
            <w:vAlign w:val="center"/>
          </w:tcPr>
          <w:p w14:paraId="4221FC6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2967CD4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6C34391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164AB8F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36EEB6F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rPr>
            </w:pPr>
            <w:r>
              <w:rPr>
                <w:rFonts w:hint="eastAsia" w:ascii="Times New Roman" w:hAnsi="Times New Roman" w:eastAsia="仿宋_GB2312" w:cs="Times New Roman"/>
                <w:color w:val="auto"/>
                <w:sz w:val="21"/>
                <w:szCs w:val="22"/>
                <w:highlight w:val="none"/>
                <w:lang w:val="en-US" w:eastAsia="zh-CN"/>
              </w:rPr>
              <w:t>6</w:t>
            </w:r>
          </w:p>
        </w:tc>
      </w:tr>
      <w:tr w14:paraId="1301E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230DF40">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4C1944B5">
            <w:pPr>
              <w:keepNext w:val="0"/>
              <w:keepLines w:val="0"/>
              <w:pageBreakBefore w:val="0"/>
              <w:kinsoku/>
              <w:overflowPunct/>
              <w:topLinePunct w:val="0"/>
              <w:autoSpaceDE/>
              <w:autoSpaceDN/>
              <w:bidi w:val="0"/>
              <w:adjustRightInd/>
              <w:snapToGrid/>
              <w:spacing w:line="580" w:lineRule="exact"/>
              <w:ind w:left="-97" w:leftChars="-51"/>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36AC89A6">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w:t>
            </w:r>
            <w:bookmarkStart w:id="6" w:name="_Hlk66975392"/>
            <w:r>
              <w:rPr>
                <w:rFonts w:hint="eastAsia" w:ascii="Times New Roman" w:hAnsi="Times New Roman" w:eastAsia="仿宋_GB2312"/>
                <w:color w:val="auto"/>
                <w:kern w:val="0"/>
                <w:szCs w:val="21"/>
                <w:highlight w:val="none"/>
              </w:rPr>
              <w:t>没有现成信息需要另行制作</w:t>
            </w:r>
            <w:bookmarkEnd w:id="6"/>
          </w:p>
        </w:tc>
        <w:tc>
          <w:tcPr>
            <w:tcW w:w="747" w:type="dxa"/>
            <w:shd w:val="clear" w:color="auto" w:fill="auto"/>
            <w:tcMar>
              <w:left w:w="108" w:type="dxa"/>
              <w:right w:w="108" w:type="dxa"/>
            </w:tcMar>
            <w:vAlign w:val="center"/>
          </w:tcPr>
          <w:p w14:paraId="3C7E369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eastAsia" w:ascii="Times New Roman" w:hAnsi="Times New Roman" w:eastAsia="仿宋_GB2312" w:cs="Times New Roman"/>
                <w:color w:val="auto"/>
                <w:sz w:val="21"/>
                <w:szCs w:val="22"/>
                <w:highlight w:val="none"/>
                <w:lang w:val="en-US" w:eastAsia="zh-CN"/>
              </w:rPr>
              <w:t>1</w:t>
            </w:r>
          </w:p>
        </w:tc>
        <w:tc>
          <w:tcPr>
            <w:tcW w:w="540" w:type="dxa"/>
            <w:gridSpan w:val="2"/>
            <w:shd w:val="clear" w:color="auto" w:fill="auto"/>
            <w:tcMar>
              <w:left w:w="108" w:type="dxa"/>
              <w:right w:w="108" w:type="dxa"/>
            </w:tcMar>
            <w:vAlign w:val="center"/>
          </w:tcPr>
          <w:p w14:paraId="32155A5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62EBD45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6AADA48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5C073BE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2BD02A4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2B97124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eastAsia" w:ascii="Times New Roman" w:hAnsi="Times New Roman" w:eastAsia="仿宋_GB2312" w:cs="Times New Roman"/>
                <w:color w:val="auto"/>
                <w:sz w:val="21"/>
                <w:szCs w:val="22"/>
                <w:highlight w:val="none"/>
                <w:lang w:val="en-US" w:eastAsia="zh-CN"/>
              </w:rPr>
              <w:t>1</w:t>
            </w:r>
          </w:p>
        </w:tc>
      </w:tr>
      <w:tr w14:paraId="33C98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38C03DC">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074AFDF1">
            <w:pPr>
              <w:keepNext w:val="0"/>
              <w:keepLines w:val="0"/>
              <w:pageBreakBefore w:val="0"/>
              <w:kinsoku/>
              <w:overflowPunct/>
              <w:topLinePunct w:val="0"/>
              <w:autoSpaceDE/>
              <w:autoSpaceDN/>
              <w:bidi w:val="0"/>
              <w:adjustRightInd/>
              <w:snapToGrid/>
              <w:spacing w:line="580" w:lineRule="exact"/>
              <w:ind w:left="-97" w:leftChars="-51"/>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6DEEA3F6">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3.</w:t>
            </w:r>
            <w:bookmarkStart w:id="7" w:name="_Hlk66975466"/>
            <w:r>
              <w:rPr>
                <w:rFonts w:hint="eastAsia" w:ascii="Times New Roman" w:hAnsi="Times New Roman" w:eastAsia="仿宋_GB2312"/>
                <w:color w:val="auto"/>
                <w:kern w:val="0"/>
                <w:szCs w:val="21"/>
                <w:highlight w:val="none"/>
              </w:rPr>
              <w:t>补正后申请内容仍不明确</w:t>
            </w:r>
            <w:bookmarkEnd w:id="7"/>
          </w:p>
        </w:tc>
        <w:tc>
          <w:tcPr>
            <w:tcW w:w="747" w:type="dxa"/>
            <w:shd w:val="clear" w:color="auto" w:fill="auto"/>
            <w:tcMar>
              <w:left w:w="108" w:type="dxa"/>
              <w:right w:w="108" w:type="dxa"/>
            </w:tcMar>
            <w:vAlign w:val="center"/>
          </w:tcPr>
          <w:p w14:paraId="334E56E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3F5E3F7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564406D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199105F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7DCD62F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466BC8A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61F1A61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19579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DC715E8">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restart"/>
            <w:shd w:val="clear" w:color="auto" w:fill="auto"/>
            <w:tcMar>
              <w:left w:w="108" w:type="dxa"/>
              <w:right w:w="108" w:type="dxa"/>
            </w:tcMar>
            <w:vAlign w:val="center"/>
          </w:tcPr>
          <w:p w14:paraId="66BEA70F">
            <w:pPr>
              <w:keepNext w:val="0"/>
              <w:keepLines w:val="0"/>
              <w:pageBreakBefore w:val="0"/>
              <w:widowControl/>
              <w:kinsoku/>
              <w:overflowPunct/>
              <w:topLinePunct w:val="0"/>
              <w:autoSpaceDE/>
              <w:autoSpaceDN/>
              <w:bidi w:val="0"/>
              <w:adjustRightInd/>
              <w:snapToGrid/>
              <w:spacing w:line="580" w:lineRule="exact"/>
              <w:ind w:left="-97" w:leftChars="-51"/>
              <w:textAlignment w:val="auto"/>
              <w:rPr>
                <w:rFonts w:ascii="Times New Roman" w:hAnsi="Times New Roman" w:eastAsia="黑体"/>
                <w:color w:val="auto"/>
                <w:szCs w:val="21"/>
                <w:highlight w:val="none"/>
              </w:rPr>
            </w:pPr>
            <w:r>
              <w:rPr>
                <w:rFonts w:hint="eastAsia" w:ascii="Times New Roman" w:hAnsi="Times New Roman" w:eastAsia="黑体"/>
                <w:color w:val="auto"/>
                <w:kern w:val="0"/>
                <w:szCs w:val="21"/>
                <w:highlight w:val="none"/>
              </w:rPr>
              <w:t>（五）不予处理</w:t>
            </w:r>
          </w:p>
        </w:tc>
        <w:tc>
          <w:tcPr>
            <w:tcW w:w="2976" w:type="dxa"/>
            <w:shd w:val="clear" w:color="auto" w:fill="auto"/>
            <w:tcMar>
              <w:left w:w="108" w:type="dxa"/>
              <w:right w:w="108" w:type="dxa"/>
            </w:tcMar>
            <w:vAlign w:val="center"/>
          </w:tcPr>
          <w:p w14:paraId="1C72E533">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w:t>
            </w:r>
            <w:bookmarkStart w:id="8" w:name="_Hlk66975537"/>
            <w:r>
              <w:rPr>
                <w:rFonts w:hint="eastAsia" w:ascii="Times New Roman" w:hAnsi="Times New Roman" w:eastAsia="仿宋_GB2312"/>
                <w:color w:val="auto"/>
                <w:kern w:val="0"/>
                <w:szCs w:val="21"/>
                <w:highlight w:val="none"/>
              </w:rPr>
              <w:t>信访举报投诉类申请</w:t>
            </w:r>
            <w:bookmarkEnd w:id="8"/>
          </w:p>
        </w:tc>
        <w:tc>
          <w:tcPr>
            <w:tcW w:w="747" w:type="dxa"/>
            <w:shd w:val="clear" w:color="auto" w:fill="auto"/>
            <w:tcMar>
              <w:left w:w="108" w:type="dxa"/>
              <w:right w:w="108" w:type="dxa"/>
            </w:tcMar>
            <w:vAlign w:val="center"/>
          </w:tcPr>
          <w:p w14:paraId="2E3535A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7BEDF42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0BC5218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55F3E95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4391A6F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7149D36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1083EB5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16A0B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90C6F01">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0DDB4863">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499A9921">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2.重复申请</w:t>
            </w:r>
          </w:p>
        </w:tc>
        <w:tc>
          <w:tcPr>
            <w:tcW w:w="747" w:type="dxa"/>
            <w:shd w:val="clear" w:color="auto" w:fill="auto"/>
            <w:tcMar>
              <w:left w:w="108" w:type="dxa"/>
              <w:right w:w="108" w:type="dxa"/>
            </w:tcMar>
            <w:vAlign w:val="center"/>
          </w:tcPr>
          <w:p w14:paraId="6E5B761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3D3B19C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5F5E48D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41C9D2A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3025AAA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6CD7B1F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79EAAEB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7D710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3B799D5">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7B783780">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42FCAA05">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3.要求提供公开出版物</w:t>
            </w:r>
          </w:p>
        </w:tc>
        <w:tc>
          <w:tcPr>
            <w:tcW w:w="747" w:type="dxa"/>
            <w:shd w:val="clear" w:color="auto" w:fill="auto"/>
            <w:tcMar>
              <w:left w:w="108" w:type="dxa"/>
              <w:right w:w="108" w:type="dxa"/>
            </w:tcMar>
            <w:vAlign w:val="center"/>
          </w:tcPr>
          <w:p w14:paraId="7495362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6410D1C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3D205E0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11A458A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7FBAD59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616AC7F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713F5F1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40110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0C9A4939">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5BF5FB93">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2B5818A9">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4.无正当理由大量反复申请</w:t>
            </w:r>
          </w:p>
        </w:tc>
        <w:tc>
          <w:tcPr>
            <w:tcW w:w="747" w:type="dxa"/>
            <w:shd w:val="clear" w:color="auto" w:fill="auto"/>
            <w:tcMar>
              <w:left w:w="108" w:type="dxa"/>
              <w:right w:w="108" w:type="dxa"/>
            </w:tcMar>
            <w:vAlign w:val="center"/>
          </w:tcPr>
          <w:p w14:paraId="4EBA990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1F6343E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7C1065E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50F0B7F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3E90087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778B2D7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3061A4C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6C148F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ED1B216">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61F5ACE5">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2976" w:type="dxa"/>
            <w:shd w:val="clear" w:color="auto" w:fill="auto"/>
            <w:tcMar>
              <w:left w:w="108" w:type="dxa"/>
              <w:right w:w="108" w:type="dxa"/>
            </w:tcMar>
            <w:vAlign w:val="center"/>
          </w:tcPr>
          <w:p w14:paraId="6D3DD95F">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5.要求行政机关确认或重新</w:t>
            </w:r>
          </w:p>
          <w:p w14:paraId="0A434C51">
            <w:pPr>
              <w:keepNext w:val="0"/>
              <w:keepLines w:val="0"/>
              <w:pageBreakBefore w:val="0"/>
              <w:widowControl/>
              <w:kinsoku/>
              <w:wordWrap/>
              <w:overflowPunct/>
              <w:topLinePunct w:val="0"/>
              <w:autoSpaceDE/>
              <w:autoSpaceDN/>
              <w:bidi w:val="0"/>
              <w:adjustRightInd/>
              <w:snapToGrid/>
              <w:spacing w:line="400" w:lineRule="exact"/>
              <w:ind w:firstLine="192" w:firstLineChars="100"/>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出具已获取信息</w:t>
            </w:r>
          </w:p>
        </w:tc>
        <w:tc>
          <w:tcPr>
            <w:tcW w:w="747" w:type="dxa"/>
            <w:shd w:val="clear" w:color="auto" w:fill="auto"/>
            <w:tcMar>
              <w:left w:w="108" w:type="dxa"/>
              <w:right w:w="108" w:type="dxa"/>
            </w:tcMar>
            <w:vAlign w:val="center"/>
          </w:tcPr>
          <w:p w14:paraId="7209DCD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3B2F9DB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30500A8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6E5D4A2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09F58B7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06DC46E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635C94D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r>
      <w:tr w14:paraId="2E3EB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638CE44">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restart"/>
            <w:shd w:val="clear" w:color="auto" w:fill="auto"/>
            <w:tcMar>
              <w:left w:w="108" w:type="dxa"/>
              <w:right w:w="108" w:type="dxa"/>
            </w:tcMar>
            <w:vAlign w:val="center"/>
          </w:tcPr>
          <w:p w14:paraId="5825D1F4">
            <w:pPr>
              <w:keepNext w:val="0"/>
              <w:keepLines w:val="0"/>
              <w:pageBreakBefore w:val="0"/>
              <w:widowControl/>
              <w:kinsoku/>
              <w:overflowPunct/>
              <w:topLinePunct w:val="0"/>
              <w:autoSpaceDE/>
              <w:autoSpaceDN/>
              <w:bidi w:val="0"/>
              <w:adjustRightInd/>
              <w:snapToGrid/>
              <w:spacing w:line="580" w:lineRule="exact"/>
              <w:textAlignment w:val="auto"/>
              <w:rPr>
                <w:rFonts w:ascii="Times New Roman" w:hAnsi="Times New Roman" w:eastAsia="黑体"/>
                <w:color w:val="auto"/>
                <w:kern w:val="0"/>
                <w:szCs w:val="21"/>
                <w:highlight w:val="none"/>
              </w:rPr>
            </w:pPr>
            <w:r>
              <w:rPr>
                <w:rFonts w:hint="eastAsia" w:ascii="Times New Roman" w:hAnsi="Times New Roman" w:eastAsia="黑体"/>
                <w:color w:val="auto"/>
                <w:kern w:val="0"/>
                <w:szCs w:val="21"/>
                <w:highlight w:val="none"/>
              </w:rPr>
              <w:t>（六）其他处理</w:t>
            </w:r>
          </w:p>
        </w:tc>
        <w:tc>
          <w:tcPr>
            <w:tcW w:w="2976" w:type="dxa"/>
            <w:shd w:val="clear" w:color="auto" w:fill="auto"/>
            <w:vAlign w:val="center"/>
          </w:tcPr>
          <w:p w14:paraId="07FA331C">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highlight w:val="none"/>
              </w:rPr>
            </w:pPr>
            <w:r>
              <w:rPr>
                <w:rFonts w:hint="eastAsia" w:ascii="Times New Roman" w:hAnsi="Times New Roman" w:eastAsia="仿宋_GB2312"/>
                <w:color w:val="auto"/>
                <w:highlight w:val="none"/>
              </w:rPr>
              <w:t>1.申请人无正当理由逾期不补正、行政机关不再处理其政府信息公开申请</w:t>
            </w:r>
          </w:p>
        </w:tc>
        <w:tc>
          <w:tcPr>
            <w:tcW w:w="747" w:type="dxa"/>
            <w:shd w:val="clear" w:color="auto" w:fill="auto"/>
            <w:tcMar>
              <w:left w:w="108" w:type="dxa"/>
              <w:right w:w="108" w:type="dxa"/>
            </w:tcMar>
            <w:vAlign w:val="center"/>
          </w:tcPr>
          <w:p w14:paraId="46047B3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eastAsia"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1C3348A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15BABAF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029E160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2BDB1A9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2400231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00EEF64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rPr>
            </w:pPr>
            <w:r>
              <w:rPr>
                <w:rFonts w:hint="eastAsia" w:ascii="Times New Roman" w:hAnsi="Times New Roman" w:eastAsia="仿宋_GB2312" w:cs="Times New Roman"/>
                <w:color w:val="auto"/>
                <w:sz w:val="21"/>
                <w:szCs w:val="22"/>
                <w:highlight w:val="none"/>
                <w:lang w:val="en-US" w:eastAsia="zh-CN"/>
              </w:rPr>
              <w:t>0</w:t>
            </w:r>
          </w:p>
        </w:tc>
      </w:tr>
      <w:tr w14:paraId="44ECD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B8E1823">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1697BED9">
            <w:pPr>
              <w:keepNext w:val="0"/>
              <w:keepLines w:val="0"/>
              <w:pageBreakBefore w:val="0"/>
              <w:widowControl/>
              <w:kinsoku/>
              <w:overflowPunct/>
              <w:topLinePunct w:val="0"/>
              <w:autoSpaceDE/>
              <w:autoSpaceDN/>
              <w:bidi w:val="0"/>
              <w:adjustRightInd/>
              <w:snapToGrid/>
              <w:spacing w:line="580" w:lineRule="exact"/>
              <w:textAlignment w:val="auto"/>
              <w:rPr>
                <w:rFonts w:ascii="Times New Roman" w:hAnsi="Times New Roman" w:eastAsia="黑体"/>
                <w:color w:val="auto"/>
                <w:kern w:val="0"/>
                <w:szCs w:val="21"/>
                <w:highlight w:val="none"/>
              </w:rPr>
            </w:pPr>
          </w:p>
        </w:tc>
        <w:tc>
          <w:tcPr>
            <w:tcW w:w="2976" w:type="dxa"/>
            <w:shd w:val="clear" w:color="auto" w:fill="auto"/>
            <w:vAlign w:val="center"/>
          </w:tcPr>
          <w:p w14:paraId="72F3C420">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highlight w:val="none"/>
              </w:rPr>
              <w:t>2.申请人逾期未按收费通知要求缴纳费用、行政机关不再处理其政府信息公开申请</w:t>
            </w:r>
          </w:p>
        </w:tc>
        <w:tc>
          <w:tcPr>
            <w:tcW w:w="747" w:type="dxa"/>
            <w:shd w:val="clear" w:color="auto" w:fill="auto"/>
            <w:tcMar>
              <w:left w:w="108" w:type="dxa"/>
              <w:right w:w="108" w:type="dxa"/>
            </w:tcMar>
            <w:vAlign w:val="center"/>
          </w:tcPr>
          <w:p w14:paraId="638672D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26C7F88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2B06C67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4D67597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680D7A7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40EE2CB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6053467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r>
      <w:tr w14:paraId="5480A5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0AF0D24">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1701" w:type="dxa"/>
            <w:vMerge w:val="continue"/>
            <w:shd w:val="clear" w:color="auto" w:fill="auto"/>
            <w:tcMar>
              <w:left w:w="108" w:type="dxa"/>
              <w:right w:w="108" w:type="dxa"/>
            </w:tcMar>
            <w:vAlign w:val="center"/>
          </w:tcPr>
          <w:p w14:paraId="0AF9167C">
            <w:pPr>
              <w:keepNext w:val="0"/>
              <w:keepLines w:val="0"/>
              <w:pageBreakBefore w:val="0"/>
              <w:widowControl/>
              <w:kinsoku/>
              <w:overflowPunct/>
              <w:topLinePunct w:val="0"/>
              <w:autoSpaceDE/>
              <w:autoSpaceDN/>
              <w:bidi w:val="0"/>
              <w:adjustRightInd/>
              <w:snapToGrid/>
              <w:spacing w:line="580" w:lineRule="exact"/>
              <w:textAlignment w:val="auto"/>
              <w:rPr>
                <w:rFonts w:ascii="Times New Roman" w:hAnsi="Times New Roman" w:eastAsia="黑体"/>
                <w:color w:val="auto"/>
                <w:kern w:val="0"/>
                <w:szCs w:val="21"/>
                <w:highlight w:val="none"/>
              </w:rPr>
            </w:pPr>
          </w:p>
        </w:tc>
        <w:tc>
          <w:tcPr>
            <w:tcW w:w="2976" w:type="dxa"/>
            <w:shd w:val="clear" w:color="auto" w:fill="auto"/>
            <w:vAlign w:val="center"/>
          </w:tcPr>
          <w:p w14:paraId="09D52B22">
            <w:pPr>
              <w:keepNext w:val="0"/>
              <w:keepLines w:val="0"/>
              <w:pageBreakBefore w:val="0"/>
              <w:widowControl/>
              <w:kinsoku/>
              <w:wordWrap/>
              <w:overflowPunct/>
              <w:topLinePunct w:val="0"/>
              <w:autoSpaceDE/>
              <w:autoSpaceDN/>
              <w:bidi w:val="0"/>
              <w:adjustRightInd/>
              <w:snapToGrid/>
              <w:spacing w:line="4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highlight w:val="none"/>
              </w:rPr>
              <w:t>3.其他</w:t>
            </w:r>
          </w:p>
        </w:tc>
        <w:tc>
          <w:tcPr>
            <w:tcW w:w="747" w:type="dxa"/>
            <w:shd w:val="clear" w:color="auto" w:fill="auto"/>
            <w:tcMar>
              <w:left w:w="108" w:type="dxa"/>
              <w:right w:w="108" w:type="dxa"/>
            </w:tcMar>
            <w:vAlign w:val="center"/>
          </w:tcPr>
          <w:p w14:paraId="38650CF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0918725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6D09362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2D2F01E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746C59B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009D7A6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085F3DC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r>
      <w:tr w14:paraId="36D03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0F40EE3">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Cs w:val="21"/>
                <w:highlight w:val="none"/>
              </w:rPr>
            </w:pPr>
          </w:p>
        </w:tc>
        <w:tc>
          <w:tcPr>
            <w:tcW w:w="4677" w:type="dxa"/>
            <w:gridSpan w:val="2"/>
            <w:shd w:val="clear" w:color="auto" w:fill="auto"/>
            <w:tcMar>
              <w:left w:w="108" w:type="dxa"/>
              <w:right w:w="108" w:type="dxa"/>
            </w:tcMar>
            <w:vAlign w:val="center"/>
          </w:tcPr>
          <w:p w14:paraId="0F800186">
            <w:pPr>
              <w:keepNext w:val="0"/>
              <w:keepLines w:val="0"/>
              <w:pageBreakBefore w:val="0"/>
              <w:widowControl/>
              <w:kinsoku/>
              <w:overflowPunct/>
              <w:topLinePunct w:val="0"/>
              <w:autoSpaceDE/>
              <w:autoSpaceDN/>
              <w:bidi w:val="0"/>
              <w:adjustRightInd/>
              <w:snapToGrid/>
              <w:spacing w:line="580" w:lineRule="exact"/>
              <w:textAlignment w:val="auto"/>
              <w:rPr>
                <w:rFonts w:ascii="Times New Roman" w:hAnsi="Times New Roman" w:eastAsia="黑体"/>
                <w:color w:val="auto"/>
                <w:kern w:val="0"/>
                <w:szCs w:val="21"/>
                <w:highlight w:val="none"/>
              </w:rPr>
            </w:pPr>
            <w:r>
              <w:rPr>
                <w:rFonts w:hint="eastAsia" w:ascii="Times New Roman" w:hAnsi="Times New Roman" w:eastAsia="黑体"/>
                <w:color w:val="auto"/>
                <w:kern w:val="0"/>
                <w:szCs w:val="21"/>
                <w:highlight w:val="none"/>
              </w:rPr>
              <w:t>（七）总计</w:t>
            </w:r>
          </w:p>
        </w:tc>
        <w:tc>
          <w:tcPr>
            <w:tcW w:w="747" w:type="dxa"/>
            <w:shd w:val="clear" w:color="auto" w:fill="auto"/>
            <w:tcMar>
              <w:left w:w="108" w:type="dxa"/>
              <w:right w:w="108" w:type="dxa"/>
            </w:tcMar>
            <w:vAlign w:val="center"/>
          </w:tcPr>
          <w:p w14:paraId="0A6DBE2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bidi="ar-SA"/>
              </w:rPr>
              <w:t>28</w:t>
            </w:r>
          </w:p>
        </w:tc>
        <w:tc>
          <w:tcPr>
            <w:tcW w:w="540" w:type="dxa"/>
            <w:gridSpan w:val="2"/>
            <w:shd w:val="clear" w:color="auto" w:fill="auto"/>
            <w:tcMar>
              <w:left w:w="108" w:type="dxa"/>
              <w:right w:w="108" w:type="dxa"/>
            </w:tcMar>
            <w:vAlign w:val="center"/>
          </w:tcPr>
          <w:p w14:paraId="21E7CE4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bidi="ar-SA"/>
              </w:rPr>
              <w:t>2</w:t>
            </w:r>
          </w:p>
        </w:tc>
        <w:tc>
          <w:tcPr>
            <w:tcW w:w="540" w:type="dxa"/>
            <w:gridSpan w:val="2"/>
            <w:shd w:val="clear" w:color="auto" w:fill="auto"/>
            <w:tcMar>
              <w:left w:w="108" w:type="dxa"/>
              <w:right w:w="108" w:type="dxa"/>
            </w:tcMar>
            <w:vAlign w:val="center"/>
          </w:tcPr>
          <w:p w14:paraId="21AC725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bidi="ar-SA"/>
              </w:rPr>
              <w:t>0</w:t>
            </w:r>
          </w:p>
        </w:tc>
        <w:tc>
          <w:tcPr>
            <w:tcW w:w="720" w:type="dxa"/>
            <w:shd w:val="clear" w:color="auto" w:fill="auto"/>
            <w:tcMar>
              <w:left w:w="108" w:type="dxa"/>
              <w:right w:w="108" w:type="dxa"/>
            </w:tcMar>
            <w:vAlign w:val="center"/>
          </w:tcPr>
          <w:p w14:paraId="298F722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bidi="ar-SA"/>
              </w:rPr>
              <w:t>0</w:t>
            </w:r>
          </w:p>
        </w:tc>
        <w:tc>
          <w:tcPr>
            <w:tcW w:w="675" w:type="dxa"/>
            <w:shd w:val="clear" w:color="auto" w:fill="auto"/>
            <w:tcMar>
              <w:left w:w="108" w:type="dxa"/>
              <w:right w:w="108" w:type="dxa"/>
            </w:tcMar>
            <w:vAlign w:val="center"/>
          </w:tcPr>
          <w:p w14:paraId="2E8743D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bidi="ar-SA"/>
              </w:rPr>
              <w:t>0</w:t>
            </w:r>
          </w:p>
        </w:tc>
        <w:tc>
          <w:tcPr>
            <w:tcW w:w="525" w:type="dxa"/>
            <w:shd w:val="clear" w:color="auto" w:fill="auto"/>
            <w:tcMar>
              <w:left w:w="108" w:type="dxa"/>
              <w:right w:w="108" w:type="dxa"/>
            </w:tcMar>
            <w:vAlign w:val="center"/>
          </w:tcPr>
          <w:p w14:paraId="29E7C73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bidi="ar-SA"/>
              </w:rPr>
              <w:t>0</w:t>
            </w:r>
          </w:p>
        </w:tc>
        <w:tc>
          <w:tcPr>
            <w:tcW w:w="701" w:type="dxa"/>
            <w:gridSpan w:val="2"/>
            <w:shd w:val="clear" w:color="auto" w:fill="auto"/>
            <w:tcMar>
              <w:left w:w="108" w:type="dxa"/>
              <w:right w:w="108" w:type="dxa"/>
            </w:tcMar>
            <w:vAlign w:val="center"/>
          </w:tcPr>
          <w:p w14:paraId="661E144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bidi="ar-SA"/>
              </w:rPr>
              <w:t>30</w:t>
            </w:r>
          </w:p>
        </w:tc>
      </w:tr>
      <w:tr w14:paraId="29BF2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2362D114">
            <w:pPr>
              <w:keepNext w:val="0"/>
              <w:keepLines w:val="0"/>
              <w:pageBreakBefore w:val="0"/>
              <w:widowControl/>
              <w:kinsoku/>
              <w:overflowPunct/>
              <w:topLinePunct w:val="0"/>
              <w:autoSpaceDE/>
              <w:autoSpaceDN/>
              <w:bidi w:val="0"/>
              <w:adjustRightInd/>
              <w:snapToGrid/>
              <w:spacing w:line="580" w:lineRule="exact"/>
              <w:textAlignment w:val="auto"/>
              <w:rPr>
                <w:rFonts w:ascii="Times New Roman" w:hAnsi="Times New Roman" w:eastAsia="黑体"/>
                <w:color w:val="auto"/>
                <w:kern w:val="0"/>
                <w:szCs w:val="21"/>
                <w:highlight w:val="none"/>
              </w:rPr>
            </w:pPr>
            <w:r>
              <w:rPr>
                <w:rFonts w:hint="eastAsia" w:ascii="Times New Roman" w:hAnsi="Times New Roman" w:eastAsia="黑体"/>
                <w:color w:val="auto"/>
                <w:kern w:val="0"/>
                <w:szCs w:val="21"/>
                <w:highlight w:val="none"/>
              </w:rPr>
              <w:t>四、结转下年度继续办理</w:t>
            </w:r>
          </w:p>
        </w:tc>
        <w:tc>
          <w:tcPr>
            <w:tcW w:w="747" w:type="dxa"/>
            <w:shd w:val="clear" w:color="auto" w:fill="auto"/>
            <w:tcMar>
              <w:left w:w="108" w:type="dxa"/>
              <w:right w:w="108" w:type="dxa"/>
            </w:tcMar>
            <w:vAlign w:val="center"/>
          </w:tcPr>
          <w:p w14:paraId="0854FBC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rPr>
              <w:t>3</w:t>
            </w:r>
          </w:p>
        </w:tc>
        <w:tc>
          <w:tcPr>
            <w:tcW w:w="540" w:type="dxa"/>
            <w:gridSpan w:val="2"/>
            <w:shd w:val="clear" w:color="auto" w:fill="auto"/>
            <w:tcMar>
              <w:left w:w="108" w:type="dxa"/>
              <w:right w:w="108" w:type="dxa"/>
            </w:tcMar>
            <w:vAlign w:val="center"/>
          </w:tcPr>
          <w:p w14:paraId="0E17779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40" w:type="dxa"/>
            <w:gridSpan w:val="2"/>
            <w:shd w:val="clear" w:color="auto" w:fill="auto"/>
            <w:tcMar>
              <w:left w:w="108" w:type="dxa"/>
              <w:right w:w="108" w:type="dxa"/>
            </w:tcMar>
            <w:vAlign w:val="center"/>
          </w:tcPr>
          <w:p w14:paraId="6CC2DA4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20" w:type="dxa"/>
            <w:shd w:val="clear" w:color="auto" w:fill="auto"/>
            <w:tcMar>
              <w:left w:w="108" w:type="dxa"/>
              <w:right w:w="108" w:type="dxa"/>
            </w:tcMar>
            <w:vAlign w:val="center"/>
          </w:tcPr>
          <w:p w14:paraId="611C68F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675" w:type="dxa"/>
            <w:shd w:val="clear" w:color="auto" w:fill="auto"/>
            <w:tcMar>
              <w:left w:w="108" w:type="dxa"/>
              <w:right w:w="108" w:type="dxa"/>
            </w:tcMar>
            <w:vAlign w:val="center"/>
          </w:tcPr>
          <w:p w14:paraId="513ADA0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525" w:type="dxa"/>
            <w:shd w:val="clear" w:color="auto" w:fill="auto"/>
            <w:tcMar>
              <w:left w:w="108" w:type="dxa"/>
              <w:right w:w="108" w:type="dxa"/>
            </w:tcMar>
            <w:vAlign w:val="center"/>
          </w:tcPr>
          <w:p w14:paraId="68D0E964">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default" w:ascii="Times New Roman" w:hAnsi="Times New Roman" w:eastAsia="仿宋_GB2312" w:cs="Times New Roman"/>
                <w:color w:val="auto"/>
                <w:sz w:val="21"/>
                <w:szCs w:val="22"/>
                <w:highlight w:val="none"/>
                <w:lang w:val="en-US" w:eastAsia="zh-CN"/>
              </w:rPr>
              <w:t>0</w:t>
            </w:r>
          </w:p>
        </w:tc>
        <w:tc>
          <w:tcPr>
            <w:tcW w:w="701" w:type="dxa"/>
            <w:gridSpan w:val="2"/>
            <w:shd w:val="clear" w:color="auto" w:fill="auto"/>
            <w:tcMar>
              <w:left w:w="108" w:type="dxa"/>
              <w:right w:w="108" w:type="dxa"/>
            </w:tcMar>
            <w:vAlign w:val="center"/>
          </w:tcPr>
          <w:p w14:paraId="0E9093B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auto"/>
                <w:sz w:val="21"/>
                <w:szCs w:val="22"/>
                <w:highlight w:val="none"/>
                <w:lang w:val="en-US" w:eastAsia="zh-CN" w:bidi="ar-SA"/>
              </w:rPr>
            </w:pPr>
            <w:r>
              <w:rPr>
                <w:rFonts w:hint="eastAsia" w:ascii="Times New Roman" w:hAnsi="Times New Roman" w:eastAsia="仿宋_GB2312" w:cs="Times New Roman"/>
                <w:color w:val="auto"/>
                <w:sz w:val="21"/>
                <w:szCs w:val="22"/>
                <w:highlight w:val="none"/>
                <w:lang w:val="en-US" w:eastAsia="zh-CN"/>
              </w:rPr>
              <w:t>3</w:t>
            </w:r>
          </w:p>
        </w:tc>
      </w:tr>
    </w:tbl>
    <w:p w14:paraId="395391FB">
      <w:pPr>
        <w:keepNext w:val="0"/>
        <w:keepLines w:val="0"/>
        <w:pageBreakBefore w:val="0"/>
        <w:numPr>
          <w:ilvl w:val="0"/>
          <w:numId w:val="0"/>
        </w:numPr>
        <w:kinsoku/>
        <w:overflowPunct/>
        <w:topLinePunct w:val="0"/>
        <w:autoSpaceDE/>
        <w:autoSpaceDN/>
        <w:bidi w:val="0"/>
        <w:adjustRightInd/>
        <w:snapToGrid/>
        <w:spacing w:before="62" w:beforeLines="10" w:after="62" w:afterLines="10" w:line="580" w:lineRule="exact"/>
        <w:textAlignment w:val="auto"/>
        <w:rPr>
          <w:rFonts w:hint="eastAsia" w:ascii="Times New Roman" w:hAnsi="Times New Roman" w:eastAsia="方正黑体简体"/>
          <w:b/>
          <w:color w:val="auto"/>
          <w:sz w:val="32"/>
          <w:szCs w:val="32"/>
          <w:highlight w:val="none"/>
        </w:rPr>
      </w:pPr>
    </w:p>
    <w:p w14:paraId="11299E73">
      <w:pPr>
        <w:keepNext w:val="0"/>
        <w:keepLines w:val="0"/>
        <w:pageBreakBefore w:val="0"/>
        <w:numPr>
          <w:ilvl w:val="0"/>
          <w:numId w:val="3"/>
        </w:numPr>
        <w:kinsoku/>
        <w:overflowPunct/>
        <w:topLinePunct w:val="0"/>
        <w:autoSpaceDE/>
        <w:autoSpaceDN/>
        <w:bidi w:val="0"/>
        <w:adjustRightInd/>
        <w:snapToGrid/>
        <w:spacing w:line="580" w:lineRule="exact"/>
        <w:ind w:left="0" w:leftChars="0" w:right="-96" w:rightChars="-50" w:firstLine="624" w:firstLineChars="200"/>
        <w:textAlignment w:val="auto"/>
        <w:rPr>
          <w:rFonts w:hint="eastAsia" w:ascii="Times New Roman" w:hAnsi="Times New Roman" w:eastAsia="方正黑体简体"/>
          <w:b/>
          <w:color w:val="auto"/>
          <w:sz w:val="32"/>
          <w:szCs w:val="32"/>
          <w:highlight w:val="none"/>
        </w:rPr>
      </w:pPr>
      <w:r>
        <w:rPr>
          <w:rFonts w:hint="eastAsia" w:ascii="Times New Roman" w:hAnsi="Times New Roman" w:eastAsia="方正黑体简体"/>
          <w:b/>
          <w:color w:val="auto"/>
          <w:sz w:val="32"/>
          <w:szCs w:val="32"/>
          <w:highlight w:val="none"/>
        </w:rPr>
        <w:t>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DDEAF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022279A">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highlight w:val="none"/>
              </w:rPr>
            </w:pPr>
            <w:r>
              <w:rPr>
                <w:rFonts w:ascii="Times New Roman" w:hAnsi="Times New Roman" w:eastAsia="黑体"/>
                <w:color w:val="auto"/>
                <w:kern w:val="0"/>
                <w:sz w:val="20"/>
                <w:szCs w:val="20"/>
                <w:highlight w:val="none"/>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54EEE9">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highlight w:val="none"/>
              </w:rPr>
            </w:pPr>
            <w:r>
              <w:rPr>
                <w:rFonts w:ascii="Times New Roman" w:hAnsi="Times New Roman" w:eastAsia="黑体"/>
                <w:color w:val="auto"/>
                <w:kern w:val="0"/>
                <w:sz w:val="20"/>
                <w:szCs w:val="20"/>
                <w:highlight w:val="none"/>
              </w:rPr>
              <w:t>行政诉讼</w:t>
            </w:r>
          </w:p>
        </w:tc>
      </w:tr>
      <w:tr w14:paraId="300EDB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7A1C7B">
            <w:pPr>
              <w:keepNext w:val="0"/>
              <w:keepLines w:val="0"/>
              <w:pageBreakBefore w:val="0"/>
              <w:widowControl/>
              <w:kinsoku/>
              <w:overflowPunct/>
              <w:topLinePunct w:val="0"/>
              <w:autoSpaceDE/>
              <w:autoSpaceDN/>
              <w:bidi w:val="0"/>
              <w:adjustRightInd/>
              <w:snapToGrid/>
              <w:spacing w:line="580" w:lineRule="exact"/>
              <w:ind w:left="-136" w:leftChars="-71" w:right="-155" w:rightChars="-81"/>
              <w:jc w:val="center"/>
              <w:textAlignment w:val="auto"/>
              <w:rPr>
                <w:rFonts w:ascii="Times New Roman" w:hAnsi="Times New Roman" w:eastAsia="黑体"/>
                <w:color w:val="auto"/>
                <w:kern w:val="0"/>
                <w:sz w:val="20"/>
                <w:szCs w:val="20"/>
                <w:highlight w:val="none"/>
              </w:rPr>
            </w:pPr>
            <w:r>
              <w:rPr>
                <w:rFonts w:ascii="Times New Roman" w:hAnsi="Times New Roman" w:eastAsia="黑体"/>
                <w:color w:val="auto"/>
                <w:kern w:val="0"/>
                <w:sz w:val="20"/>
                <w:szCs w:val="20"/>
                <w:highlight w:val="none"/>
              </w:rPr>
              <w:t>结果</w:t>
            </w:r>
          </w:p>
          <w:p w14:paraId="2BC42F00">
            <w:pPr>
              <w:keepNext w:val="0"/>
              <w:keepLines w:val="0"/>
              <w:pageBreakBefore w:val="0"/>
              <w:widowControl/>
              <w:kinsoku/>
              <w:overflowPunct/>
              <w:topLinePunct w:val="0"/>
              <w:autoSpaceDE/>
              <w:autoSpaceDN/>
              <w:bidi w:val="0"/>
              <w:adjustRightInd/>
              <w:snapToGrid/>
              <w:spacing w:line="580" w:lineRule="exact"/>
              <w:ind w:left="-136" w:leftChars="-71" w:right="-155" w:rightChars="-81"/>
              <w:jc w:val="center"/>
              <w:textAlignment w:val="auto"/>
              <w:rPr>
                <w:rFonts w:ascii="Times New Roman" w:hAnsi="Times New Roman" w:eastAsia="黑体"/>
                <w:color w:val="auto"/>
                <w:highlight w:val="none"/>
              </w:rPr>
            </w:pPr>
            <w:r>
              <w:rPr>
                <w:rFonts w:ascii="Times New Roman" w:hAnsi="Times New Roman" w:eastAsia="黑体"/>
                <w:color w:val="auto"/>
                <w:kern w:val="0"/>
                <w:sz w:val="20"/>
                <w:szCs w:val="20"/>
                <w:highlight w:val="none"/>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BE0BC45">
            <w:pPr>
              <w:keepNext w:val="0"/>
              <w:keepLines w:val="0"/>
              <w:pageBreakBefore w:val="0"/>
              <w:widowControl/>
              <w:kinsoku/>
              <w:overflowPunct/>
              <w:topLinePunct w:val="0"/>
              <w:autoSpaceDE/>
              <w:autoSpaceDN/>
              <w:bidi w:val="0"/>
              <w:adjustRightInd/>
              <w:snapToGrid/>
              <w:spacing w:line="580" w:lineRule="exact"/>
              <w:ind w:left="-39" w:leftChars="-21" w:right="-120" w:rightChars="-63" w:hanging="1"/>
              <w:jc w:val="center"/>
              <w:textAlignment w:val="auto"/>
              <w:rPr>
                <w:rFonts w:ascii="Times New Roman" w:hAnsi="Times New Roman" w:eastAsia="黑体"/>
                <w:color w:val="auto"/>
                <w:highlight w:val="none"/>
              </w:rPr>
            </w:pPr>
            <w:r>
              <w:rPr>
                <w:rFonts w:ascii="Times New Roman" w:hAnsi="Times New Roman" w:eastAsia="黑体"/>
                <w:color w:val="auto"/>
                <w:kern w:val="0"/>
                <w:sz w:val="20"/>
                <w:szCs w:val="20"/>
                <w:highlight w:val="none"/>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0DDD0E">
            <w:pPr>
              <w:keepNext w:val="0"/>
              <w:keepLines w:val="0"/>
              <w:pageBreakBefore w:val="0"/>
              <w:widowControl/>
              <w:kinsoku/>
              <w:overflowPunct/>
              <w:topLinePunct w:val="0"/>
              <w:autoSpaceDE/>
              <w:autoSpaceDN/>
              <w:bidi w:val="0"/>
              <w:adjustRightInd/>
              <w:snapToGrid/>
              <w:spacing w:line="580" w:lineRule="exact"/>
              <w:ind w:left="-74" w:leftChars="-39" w:right="-88" w:rightChars="-46"/>
              <w:jc w:val="center"/>
              <w:textAlignment w:val="auto"/>
              <w:rPr>
                <w:rFonts w:ascii="Times New Roman" w:hAnsi="Times New Roman" w:eastAsia="黑体"/>
                <w:color w:val="auto"/>
                <w:highlight w:val="none"/>
              </w:rPr>
            </w:pPr>
            <w:r>
              <w:rPr>
                <w:rFonts w:ascii="Times New Roman" w:hAnsi="Times New Roman" w:eastAsia="黑体"/>
                <w:color w:val="auto"/>
                <w:kern w:val="0"/>
                <w:sz w:val="20"/>
                <w:szCs w:val="20"/>
                <w:highlight w:val="none"/>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B09D88">
            <w:pPr>
              <w:keepNext w:val="0"/>
              <w:keepLines w:val="0"/>
              <w:pageBreakBefore w:val="0"/>
              <w:widowControl/>
              <w:kinsoku/>
              <w:overflowPunct/>
              <w:topLinePunct w:val="0"/>
              <w:autoSpaceDE/>
              <w:autoSpaceDN/>
              <w:bidi w:val="0"/>
              <w:adjustRightInd/>
              <w:snapToGrid/>
              <w:spacing w:line="580" w:lineRule="exact"/>
              <w:ind w:left="-107" w:leftChars="-56" w:right="-107" w:rightChars="-56"/>
              <w:jc w:val="center"/>
              <w:textAlignment w:val="auto"/>
              <w:rPr>
                <w:rFonts w:ascii="Times New Roman" w:hAnsi="Times New Roman" w:eastAsia="黑体"/>
                <w:color w:val="auto"/>
                <w:kern w:val="0"/>
                <w:sz w:val="20"/>
                <w:szCs w:val="20"/>
                <w:highlight w:val="none"/>
              </w:rPr>
            </w:pPr>
            <w:r>
              <w:rPr>
                <w:rFonts w:ascii="Times New Roman" w:hAnsi="Times New Roman" w:eastAsia="黑体"/>
                <w:color w:val="auto"/>
                <w:kern w:val="0"/>
                <w:sz w:val="20"/>
                <w:szCs w:val="20"/>
                <w:highlight w:val="none"/>
              </w:rPr>
              <w:t>尚未</w:t>
            </w:r>
          </w:p>
          <w:p w14:paraId="26D2435B">
            <w:pPr>
              <w:keepNext w:val="0"/>
              <w:keepLines w:val="0"/>
              <w:pageBreakBefore w:val="0"/>
              <w:widowControl/>
              <w:kinsoku/>
              <w:overflowPunct/>
              <w:topLinePunct w:val="0"/>
              <w:autoSpaceDE/>
              <w:autoSpaceDN/>
              <w:bidi w:val="0"/>
              <w:adjustRightInd/>
              <w:snapToGrid/>
              <w:spacing w:line="580" w:lineRule="exact"/>
              <w:ind w:left="-107" w:leftChars="-56" w:right="-107" w:rightChars="-56"/>
              <w:jc w:val="center"/>
              <w:textAlignment w:val="auto"/>
              <w:rPr>
                <w:rFonts w:ascii="Times New Roman" w:hAnsi="Times New Roman" w:eastAsia="黑体"/>
                <w:color w:val="auto"/>
                <w:highlight w:val="none"/>
              </w:rPr>
            </w:pPr>
            <w:r>
              <w:rPr>
                <w:rFonts w:ascii="Times New Roman" w:hAnsi="Times New Roman" w:eastAsia="黑体"/>
                <w:color w:val="auto"/>
                <w:kern w:val="0"/>
                <w:sz w:val="20"/>
                <w:szCs w:val="20"/>
                <w:highlight w:val="none"/>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1210048">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kern w:val="0"/>
                <w:sz w:val="20"/>
                <w:szCs w:val="20"/>
                <w:highlight w:val="none"/>
              </w:rPr>
            </w:pPr>
            <w:r>
              <w:rPr>
                <w:rFonts w:ascii="Times New Roman" w:hAnsi="Times New Roman" w:eastAsia="黑体"/>
                <w:color w:val="auto"/>
                <w:kern w:val="0"/>
                <w:sz w:val="20"/>
                <w:szCs w:val="20"/>
                <w:highlight w:val="none"/>
              </w:rPr>
              <w:t>总</w:t>
            </w:r>
          </w:p>
          <w:p w14:paraId="765CD7DE">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highlight w:val="none"/>
              </w:rPr>
            </w:pPr>
            <w:r>
              <w:rPr>
                <w:rFonts w:ascii="Times New Roman" w:hAnsi="Times New Roman" w:eastAsia="黑体"/>
                <w:color w:val="auto"/>
                <w:kern w:val="0"/>
                <w:sz w:val="20"/>
                <w:szCs w:val="20"/>
                <w:highlight w:val="none"/>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651C35A">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highlight w:val="none"/>
              </w:rPr>
            </w:pPr>
            <w:r>
              <w:rPr>
                <w:rFonts w:ascii="Times New Roman" w:hAnsi="Times New Roman" w:eastAsia="黑体"/>
                <w:color w:val="auto"/>
                <w:kern w:val="0"/>
                <w:sz w:val="20"/>
                <w:szCs w:val="20"/>
                <w:highlight w:val="none"/>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6AF5F1C">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highlight w:val="none"/>
              </w:rPr>
            </w:pPr>
            <w:bookmarkStart w:id="9" w:name="_Hlk67039688"/>
            <w:r>
              <w:rPr>
                <w:rFonts w:ascii="Times New Roman" w:hAnsi="Times New Roman" w:eastAsia="黑体"/>
                <w:color w:val="auto"/>
                <w:kern w:val="0"/>
                <w:sz w:val="20"/>
                <w:szCs w:val="20"/>
                <w:highlight w:val="none"/>
              </w:rPr>
              <w:t>复议后起诉</w:t>
            </w:r>
            <w:bookmarkEnd w:id="9"/>
          </w:p>
        </w:tc>
      </w:tr>
      <w:tr w14:paraId="01BE7D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A05F90">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 w:val="24"/>
                <w:highlight w:val="none"/>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03CA2DE">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 w:val="24"/>
                <w:highlight w:val="none"/>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3D58DA">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 w:val="24"/>
                <w:highlight w:val="none"/>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437B9F9">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 w:val="24"/>
                <w:highlight w:val="none"/>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879DEBF">
            <w:pPr>
              <w:keepNext w:val="0"/>
              <w:keepLines w:val="0"/>
              <w:pageBreakBefore w:val="0"/>
              <w:kinsoku/>
              <w:overflowPunct/>
              <w:topLinePunct w:val="0"/>
              <w:autoSpaceDE/>
              <w:autoSpaceDN/>
              <w:bidi w:val="0"/>
              <w:adjustRightInd/>
              <w:snapToGrid/>
              <w:spacing w:line="580" w:lineRule="exact"/>
              <w:textAlignment w:val="auto"/>
              <w:rPr>
                <w:rFonts w:ascii="Times New Roman" w:hAnsi="Times New Roman" w:eastAsia="黑体"/>
                <w:color w:val="auto"/>
                <w:sz w:val="24"/>
                <w:highlight w:val="none"/>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111B48C">
            <w:pPr>
              <w:keepNext w:val="0"/>
              <w:keepLines w:val="0"/>
              <w:pageBreakBefore w:val="0"/>
              <w:widowControl/>
              <w:kinsoku/>
              <w:overflowPunct/>
              <w:topLinePunct w:val="0"/>
              <w:autoSpaceDE/>
              <w:autoSpaceDN/>
              <w:bidi w:val="0"/>
              <w:adjustRightInd/>
              <w:snapToGrid/>
              <w:spacing w:line="580" w:lineRule="exact"/>
              <w:ind w:left="-96" w:leftChars="-50" w:right="-115" w:rightChars="-60"/>
              <w:jc w:val="center"/>
              <w:textAlignment w:val="auto"/>
              <w:rPr>
                <w:rFonts w:ascii="Times New Roman" w:hAnsi="Times New Roman" w:eastAsia="黑体"/>
                <w:color w:val="auto"/>
                <w:highlight w:val="none"/>
              </w:rPr>
            </w:pPr>
            <w:r>
              <w:rPr>
                <w:rFonts w:ascii="Times New Roman" w:hAnsi="Times New Roman" w:eastAsia="黑体"/>
                <w:color w:val="auto"/>
                <w:kern w:val="0"/>
                <w:sz w:val="20"/>
                <w:szCs w:val="20"/>
                <w:highlight w:val="none"/>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CA4E4EA">
            <w:pPr>
              <w:keepNext w:val="0"/>
              <w:keepLines w:val="0"/>
              <w:pageBreakBefore w:val="0"/>
              <w:widowControl/>
              <w:kinsoku/>
              <w:overflowPunct/>
              <w:topLinePunct w:val="0"/>
              <w:autoSpaceDE/>
              <w:autoSpaceDN/>
              <w:bidi w:val="0"/>
              <w:adjustRightInd/>
              <w:snapToGrid/>
              <w:spacing w:line="580" w:lineRule="exact"/>
              <w:ind w:left="-78" w:leftChars="-41" w:right="-80" w:rightChars="-42"/>
              <w:jc w:val="center"/>
              <w:textAlignment w:val="auto"/>
              <w:rPr>
                <w:rFonts w:ascii="Times New Roman" w:hAnsi="Times New Roman" w:eastAsia="黑体"/>
                <w:color w:val="auto"/>
                <w:highlight w:val="none"/>
              </w:rPr>
            </w:pPr>
            <w:r>
              <w:rPr>
                <w:rFonts w:ascii="Times New Roman" w:hAnsi="Times New Roman" w:eastAsia="黑体"/>
                <w:color w:val="auto"/>
                <w:kern w:val="0"/>
                <w:sz w:val="20"/>
                <w:szCs w:val="20"/>
                <w:highlight w:val="none"/>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40A1AFB">
            <w:pPr>
              <w:keepNext w:val="0"/>
              <w:keepLines w:val="0"/>
              <w:pageBreakBefore w:val="0"/>
              <w:widowControl/>
              <w:kinsoku/>
              <w:overflowPunct/>
              <w:topLinePunct w:val="0"/>
              <w:autoSpaceDE/>
              <w:autoSpaceDN/>
              <w:bidi w:val="0"/>
              <w:adjustRightInd/>
              <w:snapToGrid/>
              <w:spacing w:line="580" w:lineRule="exact"/>
              <w:ind w:left="-115" w:leftChars="-60" w:right="-124" w:rightChars="-65"/>
              <w:jc w:val="center"/>
              <w:textAlignment w:val="auto"/>
              <w:rPr>
                <w:rFonts w:ascii="Times New Roman" w:hAnsi="Times New Roman" w:eastAsia="黑体"/>
                <w:color w:val="auto"/>
                <w:kern w:val="0"/>
                <w:sz w:val="20"/>
                <w:szCs w:val="20"/>
                <w:highlight w:val="none"/>
              </w:rPr>
            </w:pPr>
            <w:r>
              <w:rPr>
                <w:rFonts w:ascii="Times New Roman" w:hAnsi="Times New Roman" w:eastAsia="黑体"/>
                <w:color w:val="auto"/>
                <w:kern w:val="0"/>
                <w:sz w:val="20"/>
                <w:szCs w:val="20"/>
                <w:highlight w:val="none"/>
              </w:rPr>
              <w:t>其他</w:t>
            </w:r>
          </w:p>
          <w:p w14:paraId="5BC35611">
            <w:pPr>
              <w:keepNext w:val="0"/>
              <w:keepLines w:val="0"/>
              <w:pageBreakBefore w:val="0"/>
              <w:widowControl/>
              <w:kinsoku/>
              <w:overflowPunct/>
              <w:topLinePunct w:val="0"/>
              <w:autoSpaceDE/>
              <w:autoSpaceDN/>
              <w:bidi w:val="0"/>
              <w:adjustRightInd/>
              <w:snapToGrid/>
              <w:spacing w:line="580" w:lineRule="exact"/>
              <w:ind w:left="-115" w:leftChars="-60" w:right="-124" w:rightChars="-65"/>
              <w:jc w:val="center"/>
              <w:textAlignment w:val="auto"/>
              <w:rPr>
                <w:rFonts w:ascii="Times New Roman" w:hAnsi="Times New Roman" w:eastAsia="黑体"/>
                <w:color w:val="auto"/>
                <w:highlight w:val="none"/>
              </w:rPr>
            </w:pPr>
            <w:r>
              <w:rPr>
                <w:rFonts w:ascii="Times New Roman" w:hAnsi="Times New Roman" w:eastAsia="黑体"/>
                <w:color w:val="auto"/>
                <w:kern w:val="0"/>
                <w:sz w:val="20"/>
                <w:szCs w:val="20"/>
                <w:highlight w:val="none"/>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DEB689">
            <w:pPr>
              <w:keepNext w:val="0"/>
              <w:keepLines w:val="0"/>
              <w:pageBreakBefore w:val="0"/>
              <w:widowControl/>
              <w:kinsoku/>
              <w:overflowPunct/>
              <w:topLinePunct w:val="0"/>
              <w:autoSpaceDE/>
              <w:autoSpaceDN/>
              <w:bidi w:val="0"/>
              <w:adjustRightInd/>
              <w:snapToGrid/>
              <w:spacing w:line="580" w:lineRule="exact"/>
              <w:ind w:left="-149" w:leftChars="-78" w:right="-140" w:rightChars="-73"/>
              <w:jc w:val="center"/>
              <w:textAlignment w:val="auto"/>
              <w:rPr>
                <w:rFonts w:ascii="Times New Roman" w:hAnsi="Times New Roman" w:eastAsia="黑体"/>
                <w:color w:val="auto"/>
                <w:kern w:val="0"/>
                <w:sz w:val="20"/>
                <w:szCs w:val="20"/>
                <w:highlight w:val="none"/>
              </w:rPr>
            </w:pPr>
            <w:r>
              <w:rPr>
                <w:rFonts w:ascii="Times New Roman" w:hAnsi="Times New Roman" w:eastAsia="黑体"/>
                <w:color w:val="auto"/>
                <w:kern w:val="0"/>
                <w:sz w:val="20"/>
                <w:szCs w:val="20"/>
                <w:highlight w:val="none"/>
              </w:rPr>
              <w:t>尚未</w:t>
            </w:r>
          </w:p>
          <w:p w14:paraId="2BAA15A2">
            <w:pPr>
              <w:keepNext w:val="0"/>
              <w:keepLines w:val="0"/>
              <w:pageBreakBefore w:val="0"/>
              <w:widowControl/>
              <w:kinsoku/>
              <w:overflowPunct/>
              <w:topLinePunct w:val="0"/>
              <w:autoSpaceDE/>
              <w:autoSpaceDN/>
              <w:bidi w:val="0"/>
              <w:adjustRightInd/>
              <w:snapToGrid/>
              <w:spacing w:line="580" w:lineRule="exact"/>
              <w:ind w:left="-149" w:leftChars="-78" w:right="-140" w:rightChars="-73"/>
              <w:jc w:val="center"/>
              <w:textAlignment w:val="auto"/>
              <w:rPr>
                <w:rFonts w:ascii="Times New Roman" w:hAnsi="Times New Roman" w:eastAsia="黑体"/>
                <w:color w:val="auto"/>
                <w:highlight w:val="none"/>
              </w:rPr>
            </w:pPr>
            <w:r>
              <w:rPr>
                <w:rFonts w:ascii="Times New Roman" w:hAnsi="Times New Roman" w:eastAsia="黑体"/>
                <w:color w:val="auto"/>
                <w:kern w:val="0"/>
                <w:sz w:val="20"/>
                <w:szCs w:val="20"/>
                <w:highlight w:val="none"/>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12E436C">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highlight w:val="none"/>
              </w:rPr>
            </w:pPr>
            <w:r>
              <w:rPr>
                <w:rFonts w:ascii="Times New Roman" w:hAnsi="Times New Roman" w:eastAsia="黑体"/>
                <w:color w:val="auto"/>
                <w:kern w:val="0"/>
                <w:sz w:val="20"/>
                <w:szCs w:val="20"/>
                <w:highlight w:val="none"/>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E15AFC">
            <w:pPr>
              <w:keepNext w:val="0"/>
              <w:keepLines w:val="0"/>
              <w:pageBreakBefore w:val="0"/>
              <w:widowControl/>
              <w:kinsoku/>
              <w:overflowPunct/>
              <w:topLinePunct w:val="0"/>
              <w:autoSpaceDE/>
              <w:autoSpaceDN/>
              <w:bidi w:val="0"/>
              <w:adjustRightInd/>
              <w:snapToGrid/>
              <w:spacing w:line="580" w:lineRule="exact"/>
              <w:ind w:left="-90" w:leftChars="-47" w:right="-71" w:rightChars="-37"/>
              <w:jc w:val="center"/>
              <w:textAlignment w:val="auto"/>
              <w:rPr>
                <w:rFonts w:ascii="Times New Roman" w:hAnsi="Times New Roman" w:eastAsia="黑体"/>
                <w:color w:val="auto"/>
                <w:highlight w:val="none"/>
              </w:rPr>
            </w:pPr>
            <w:r>
              <w:rPr>
                <w:rFonts w:ascii="Times New Roman" w:hAnsi="Times New Roman" w:eastAsia="黑体"/>
                <w:color w:val="auto"/>
                <w:kern w:val="0"/>
                <w:sz w:val="20"/>
                <w:szCs w:val="20"/>
                <w:highlight w:val="none"/>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2E50B12">
            <w:pPr>
              <w:keepNext w:val="0"/>
              <w:keepLines w:val="0"/>
              <w:pageBreakBefore w:val="0"/>
              <w:widowControl/>
              <w:kinsoku/>
              <w:overflowPunct/>
              <w:topLinePunct w:val="0"/>
              <w:autoSpaceDE/>
              <w:autoSpaceDN/>
              <w:bidi w:val="0"/>
              <w:adjustRightInd/>
              <w:snapToGrid/>
              <w:spacing w:line="580" w:lineRule="exact"/>
              <w:ind w:left="-124" w:leftChars="-65" w:right="-113" w:rightChars="-59"/>
              <w:jc w:val="center"/>
              <w:textAlignment w:val="auto"/>
              <w:rPr>
                <w:rFonts w:ascii="Times New Roman" w:hAnsi="Times New Roman" w:eastAsia="黑体"/>
                <w:color w:val="auto"/>
                <w:kern w:val="0"/>
                <w:sz w:val="20"/>
                <w:szCs w:val="20"/>
                <w:highlight w:val="none"/>
              </w:rPr>
            </w:pPr>
            <w:r>
              <w:rPr>
                <w:rFonts w:ascii="Times New Roman" w:hAnsi="Times New Roman" w:eastAsia="黑体"/>
                <w:color w:val="auto"/>
                <w:kern w:val="0"/>
                <w:sz w:val="20"/>
                <w:szCs w:val="20"/>
                <w:highlight w:val="none"/>
              </w:rPr>
              <w:t>结果</w:t>
            </w:r>
          </w:p>
          <w:p w14:paraId="559395A2">
            <w:pPr>
              <w:keepNext w:val="0"/>
              <w:keepLines w:val="0"/>
              <w:pageBreakBefore w:val="0"/>
              <w:widowControl/>
              <w:kinsoku/>
              <w:overflowPunct/>
              <w:topLinePunct w:val="0"/>
              <w:autoSpaceDE/>
              <w:autoSpaceDN/>
              <w:bidi w:val="0"/>
              <w:adjustRightInd/>
              <w:snapToGrid/>
              <w:spacing w:line="580" w:lineRule="exact"/>
              <w:ind w:left="-124" w:leftChars="-65" w:right="-113" w:rightChars="-59"/>
              <w:jc w:val="center"/>
              <w:textAlignment w:val="auto"/>
              <w:rPr>
                <w:rFonts w:ascii="Times New Roman" w:hAnsi="Times New Roman" w:eastAsia="黑体"/>
                <w:color w:val="auto"/>
                <w:highlight w:val="none"/>
              </w:rPr>
            </w:pPr>
            <w:r>
              <w:rPr>
                <w:rFonts w:ascii="Times New Roman" w:hAnsi="Times New Roman" w:eastAsia="黑体"/>
                <w:color w:val="auto"/>
                <w:kern w:val="0"/>
                <w:sz w:val="20"/>
                <w:szCs w:val="20"/>
                <w:highlight w:val="none"/>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19A8F75">
            <w:pPr>
              <w:keepNext w:val="0"/>
              <w:keepLines w:val="0"/>
              <w:pageBreakBefore w:val="0"/>
              <w:widowControl/>
              <w:kinsoku/>
              <w:overflowPunct/>
              <w:topLinePunct w:val="0"/>
              <w:autoSpaceDE/>
              <w:autoSpaceDN/>
              <w:bidi w:val="0"/>
              <w:adjustRightInd/>
              <w:snapToGrid/>
              <w:spacing w:line="580" w:lineRule="exact"/>
              <w:ind w:left="-158" w:leftChars="-83" w:right="-122" w:rightChars="-64" w:hanging="1"/>
              <w:jc w:val="center"/>
              <w:textAlignment w:val="auto"/>
              <w:rPr>
                <w:rFonts w:ascii="Times New Roman" w:hAnsi="Times New Roman" w:eastAsia="黑体"/>
                <w:color w:val="auto"/>
                <w:kern w:val="0"/>
                <w:sz w:val="20"/>
                <w:szCs w:val="20"/>
                <w:highlight w:val="none"/>
              </w:rPr>
            </w:pPr>
            <w:r>
              <w:rPr>
                <w:rFonts w:ascii="Times New Roman" w:hAnsi="Times New Roman" w:eastAsia="黑体"/>
                <w:color w:val="auto"/>
                <w:kern w:val="0"/>
                <w:sz w:val="20"/>
                <w:szCs w:val="20"/>
                <w:highlight w:val="none"/>
              </w:rPr>
              <w:t>其他</w:t>
            </w:r>
          </w:p>
          <w:p w14:paraId="59EA7A24">
            <w:pPr>
              <w:keepNext w:val="0"/>
              <w:keepLines w:val="0"/>
              <w:pageBreakBefore w:val="0"/>
              <w:widowControl/>
              <w:kinsoku/>
              <w:overflowPunct/>
              <w:topLinePunct w:val="0"/>
              <w:autoSpaceDE/>
              <w:autoSpaceDN/>
              <w:bidi w:val="0"/>
              <w:adjustRightInd/>
              <w:snapToGrid/>
              <w:spacing w:line="580" w:lineRule="exact"/>
              <w:ind w:left="-158" w:leftChars="-83" w:right="-122" w:rightChars="-64" w:hanging="1"/>
              <w:jc w:val="center"/>
              <w:textAlignment w:val="auto"/>
              <w:rPr>
                <w:rFonts w:ascii="Times New Roman" w:hAnsi="Times New Roman" w:eastAsia="黑体"/>
                <w:color w:val="auto"/>
                <w:highlight w:val="none"/>
              </w:rPr>
            </w:pPr>
            <w:r>
              <w:rPr>
                <w:rFonts w:ascii="Times New Roman" w:hAnsi="Times New Roman" w:eastAsia="黑体"/>
                <w:color w:val="auto"/>
                <w:kern w:val="0"/>
                <w:sz w:val="20"/>
                <w:szCs w:val="20"/>
                <w:highlight w:val="none"/>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359BD28">
            <w:pPr>
              <w:keepNext w:val="0"/>
              <w:keepLines w:val="0"/>
              <w:pageBreakBefore w:val="0"/>
              <w:widowControl/>
              <w:kinsoku/>
              <w:overflowPunct/>
              <w:topLinePunct w:val="0"/>
              <w:autoSpaceDE/>
              <w:autoSpaceDN/>
              <w:bidi w:val="0"/>
              <w:adjustRightInd/>
              <w:snapToGrid/>
              <w:spacing w:line="580" w:lineRule="exact"/>
              <w:ind w:left="-61" w:leftChars="-33" w:right="-96" w:rightChars="-50" w:hanging="2" w:hangingChars="1"/>
              <w:jc w:val="center"/>
              <w:textAlignment w:val="auto"/>
              <w:rPr>
                <w:rFonts w:ascii="Times New Roman" w:hAnsi="Times New Roman" w:eastAsia="黑体"/>
                <w:color w:val="auto"/>
                <w:highlight w:val="none"/>
              </w:rPr>
            </w:pPr>
            <w:r>
              <w:rPr>
                <w:rFonts w:ascii="Times New Roman" w:hAnsi="Times New Roman" w:eastAsia="黑体"/>
                <w:color w:val="auto"/>
                <w:kern w:val="0"/>
                <w:sz w:val="20"/>
                <w:szCs w:val="20"/>
                <w:highlight w:val="none"/>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C90F9B4">
            <w:pPr>
              <w:keepNext w:val="0"/>
              <w:keepLines w:val="0"/>
              <w:pageBreakBefore w:val="0"/>
              <w:widowControl/>
              <w:kinsoku/>
              <w:overflowPunct/>
              <w:topLinePunct w:val="0"/>
              <w:autoSpaceDE/>
              <w:autoSpaceDN/>
              <w:bidi w:val="0"/>
              <w:adjustRightInd/>
              <w:snapToGrid/>
              <w:spacing w:line="580" w:lineRule="exact"/>
              <w:jc w:val="center"/>
              <w:textAlignment w:val="auto"/>
              <w:rPr>
                <w:rFonts w:ascii="Times New Roman" w:hAnsi="Times New Roman" w:eastAsia="黑体"/>
                <w:color w:val="auto"/>
                <w:highlight w:val="none"/>
              </w:rPr>
            </w:pPr>
            <w:r>
              <w:rPr>
                <w:rFonts w:ascii="Times New Roman" w:hAnsi="Times New Roman" w:eastAsia="黑体"/>
                <w:color w:val="auto"/>
                <w:kern w:val="0"/>
                <w:sz w:val="20"/>
                <w:szCs w:val="20"/>
                <w:highlight w:val="none"/>
              </w:rPr>
              <w:t>总计</w:t>
            </w:r>
          </w:p>
        </w:tc>
      </w:tr>
      <w:tr w14:paraId="307086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52C14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s="Times New Roman"/>
                <w:color w:val="auto"/>
                <w:highlight w:val="none"/>
                <w:lang w:val="en-US" w:eastAsia="zh-CN" w:bidi="ar-SA"/>
              </w:rPr>
            </w:pPr>
            <w:r>
              <w:rPr>
                <w:rFonts w:hint="eastAsia" w:ascii="Times New Roman" w:hAnsi="Times New Roman"/>
                <w:color w:val="auto"/>
                <w:highlight w:val="none"/>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372BB7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s="Times New Roman"/>
                <w:color w:val="auto"/>
                <w:highlight w:val="none"/>
                <w:lang w:val="en-US" w:eastAsia="zh-CN" w:bidi="ar-SA"/>
              </w:rPr>
            </w:pPr>
            <w:r>
              <w:rPr>
                <w:rFonts w:hint="eastAsia" w:ascii="Times New Roman" w:hAnsi="Times New Roman"/>
                <w:color w:val="auto"/>
                <w:highlight w:val="none"/>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BEB8D9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s="Times New Roman"/>
                <w:color w:val="auto"/>
                <w:highlight w:val="none"/>
                <w:lang w:val="en-US" w:eastAsia="zh-CN" w:bidi="ar-SA"/>
              </w:rPr>
            </w:pPr>
            <w:r>
              <w:rPr>
                <w:rFonts w:hint="eastAsia" w:ascii="Times New Roman" w:hAnsi="Times New Roman"/>
                <w:color w:val="auto"/>
                <w:highlight w:val="none"/>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27D7C38">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s="Times New Roman"/>
                <w:color w:val="auto"/>
                <w:highlight w:val="none"/>
                <w:lang w:val="en-US" w:eastAsia="zh-CN" w:bidi="ar-SA"/>
              </w:rPr>
            </w:pPr>
            <w:r>
              <w:rPr>
                <w:rFonts w:hint="eastAsia" w:ascii="Times New Roman" w:hAnsi="Times New Roman"/>
                <w:color w:val="auto"/>
                <w:highlight w:val="none"/>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43254DB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s="Times New Roman"/>
                <w:color w:val="auto"/>
                <w:highlight w:val="none"/>
                <w:lang w:val="en-US" w:eastAsia="zh-CN" w:bidi="ar-SA"/>
              </w:rPr>
            </w:pPr>
            <w:r>
              <w:rPr>
                <w:rFonts w:hint="eastAsia" w:ascii="Times New Roman" w:hAnsi="Times New Roman"/>
                <w:color w:val="auto"/>
                <w:highlight w:val="none"/>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1EEA001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s="Times New Roman"/>
                <w:color w:val="auto"/>
                <w:highlight w:val="none"/>
                <w:lang w:val="en-US" w:eastAsia="zh-CN" w:bidi="ar-SA"/>
              </w:rPr>
            </w:pPr>
            <w:r>
              <w:rPr>
                <w:rFonts w:hint="eastAsia" w:ascii="Times New Roman" w:hAnsi="Times New Roman"/>
                <w:color w:val="auto"/>
                <w:highlight w:val="none"/>
                <w:lang w:val="en-US" w:eastAsia="zh-CN"/>
              </w:rPr>
              <w:t>2</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243D692">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s="Times New Roman"/>
                <w:color w:val="auto"/>
                <w:highlight w:val="none"/>
                <w:lang w:val="en-US" w:eastAsia="zh-CN" w:bidi="ar-SA"/>
              </w:rPr>
            </w:pPr>
            <w:r>
              <w:rPr>
                <w:rFonts w:hint="eastAsia" w:ascii="Times New Roman" w:hAnsi="Times New Roman"/>
                <w:color w:val="auto"/>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EAEA41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197035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2DD01D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2</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7DCB2F8">
            <w:pPr>
              <w:keepNext w:val="0"/>
              <w:keepLines w:val="0"/>
              <w:pageBreakBefore w:val="0"/>
              <w:widowControl/>
              <w:kinsoku/>
              <w:overflowPunct/>
              <w:topLinePunct w:val="0"/>
              <w:autoSpaceDE/>
              <w:autoSpaceDN/>
              <w:bidi w:val="0"/>
              <w:adjustRightInd/>
              <w:snapToGrid/>
              <w:spacing w:after="180" w:line="580" w:lineRule="exact"/>
              <w:ind w:firstLine="192" w:firstLineChars="100"/>
              <w:textAlignment w:val="auto"/>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21BCA6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D3907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A0311A2">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1D1720C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宋体"/>
                <w:color w:val="auto"/>
                <w:highlight w:val="none"/>
                <w:lang w:val="en-US" w:eastAsia="zh-CN"/>
              </w:rPr>
            </w:pPr>
            <w:r>
              <w:rPr>
                <w:rFonts w:hint="eastAsia" w:ascii="Times New Roman" w:hAnsi="Times New Roman"/>
                <w:color w:val="auto"/>
                <w:sz w:val="21"/>
                <w:szCs w:val="21"/>
                <w:highlight w:val="none"/>
                <w:lang w:val="en-US" w:eastAsia="zh-CN"/>
              </w:rPr>
              <w:t>0</w:t>
            </w:r>
          </w:p>
        </w:tc>
      </w:tr>
    </w:tbl>
    <w:p w14:paraId="20FF5852">
      <w:pPr>
        <w:keepNext w:val="0"/>
        <w:keepLines w:val="0"/>
        <w:pageBreakBefore w:val="0"/>
        <w:numPr>
          <w:ilvl w:val="0"/>
          <w:numId w:val="0"/>
        </w:numPr>
        <w:kinsoku/>
        <w:overflowPunct/>
        <w:topLinePunct w:val="0"/>
        <w:autoSpaceDE/>
        <w:autoSpaceDN/>
        <w:bidi w:val="0"/>
        <w:adjustRightInd/>
        <w:snapToGrid/>
        <w:spacing w:line="580" w:lineRule="exact"/>
        <w:ind w:right="-96" w:rightChars="-50"/>
        <w:textAlignment w:val="auto"/>
        <w:rPr>
          <w:rFonts w:hint="eastAsia" w:ascii="Times New Roman" w:hAnsi="Times New Roman" w:eastAsia="方正黑体简体"/>
          <w:b/>
          <w:sz w:val="32"/>
          <w:szCs w:val="32"/>
          <w:highlight w:val="none"/>
        </w:rPr>
      </w:pPr>
    </w:p>
    <w:p w14:paraId="16620EF8">
      <w:pPr>
        <w:keepNext w:val="0"/>
        <w:keepLines w:val="0"/>
        <w:pageBreakBefore w:val="0"/>
        <w:numPr>
          <w:ilvl w:val="0"/>
          <w:numId w:val="3"/>
        </w:numPr>
        <w:kinsoku/>
        <w:overflowPunct/>
        <w:topLinePunct w:val="0"/>
        <w:autoSpaceDE/>
        <w:autoSpaceDN/>
        <w:bidi w:val="0"/>
        <w:adjustRightInd/>
        <w:snapToGrid/>
        <w:spacing w:line="580" w:lineRule="exact"/>
        <w:ind w:left="0" w:leftChars="0" w:right="-96" w:rightChars="-50" w:firstLine="624" w:firstLineChars="200"/>
        <w:textAlignment w:val="auto"/>
        <w:rPr>
          <w:rFonts w:hint="eastAsia" w:ascii="Times New Roman" w:hAnsi="Times New Roman" w:eastAsia="方正黑体简体"/>
          <w:b/>
          <w:sz w:val="32"/>
          <w:szCs w:val="32"/>
          <w:highlight w:val="none"/>
        </w:rPr>
      </w:pPr>
      <w:r>
        <w:rPr>
          <w:rFonts w:hint="eastAsia" w:ascii="Times New Roman" w:hAnsi="Times New Roman" w:eastAsia="方正黑体简体"/>
          <w:b/>
          <w:sz w:val="32"/>
          <w:szCs w:val="32"/>
          <w:highlight w:val="none"/>
        </w:rPr>
        <w:t>存在的主要问题及改进情况</w:t>
      </w:r>
    </w:p>
    <w:p w14:paraId="6A61623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宋体"/>
          <w:b/>
          <w:bCs/>
          <w:sz w:val="32"/>
          <w:szCs w:val="32"/>
          <w:highlight w:val="none"/>
          <w:lang w:val="en-US" w:eastAsia="zh-CN"/>
        </w:rPr>
      </w:pPr>
      <w:r>
        <w:rPr>
          <w:rFonts w:hint="eastAsia" w:ascii="Times New Roman" w:hAnsi="Times New Roman" w:eastAsia="方正仿宋简体" w:cs="宋体"/>
          <w:b/>
          <w:bCs/>
          <w:sz w:val="32"/>
          <w:szCs w:val="32"/>
          <w:highlight w:val="none"/>
          <w:lang w:val="en-US" w:eastAsia="zh-CN"/>
        </w:rPr>
        <w:t>一是在依申请公开受理件数量明显增加的形势下，本机关已严格按照《条例》进行规范答复，但是在与申请人沟通交流方面存在欠缺；二是现使用的依申请公开线上平台功能较为单一，页面设置不够人性化。</w:t>
      </w:r>
    </w:p>
    <w:p w14:paraId="6E87B56A">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default" w:ascii="Times New Roman" w:hAnsi="Times New Roman" w:eastAsia="方正仿宋简体" w:cs="宋体"/>
          <w:b/>
          <w:bCs/>
          <w:sz w:val="32"/>
          <w:szCs w:val="32"/>
          <w:highlight w:val="none"/>
          <w:lang w:val="en-US" w:eastAsia="zh-CN"/>
        </w:rPr>
      </w:pP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针对存在的问题，主要从以下方面改进：一是加强与政府信息公开申请人交流解释，办理人员及时主动靠前，了解其真实需求，向其耐心解释相关条例规定，提供人性化、有温度的公开服务，有效保障申请人的合法权益。二是将便民意识落实到依申请公开办理过程中，例如，答复书中告知申请人已主动公开信息，除提供具体网址，另附网址二维码，申请人只需使用手机扫一扫便可快速获取信息，保证了信息的易查阅和正确性。三是</w:t>
      </w:r>
      <w:bookmarkStart w:id="10" w:name="OLE_LINK1"/>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下一步将使用市级统一的依申请公开数字化管理平台，推进依申请办理程序化、规范化、标准化。</w:t>
      </w:r>
    </w:p>
    <w:p w14:paraId="7366BBE2">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黑体简体"/>
          <w:b/>
          <w:sz w:val="32"/>
          <w:szCs w:val="32"/>
          <w:highlight w:val="none"/>
        </w:rPr>
      </w:pPr>
      <w:r>
        <w:rPr>
          <w:rFonts w:hint="eastAsia" w:ascii="Times New Roman" w:hAnsi="Times New Roman" w:eastAsia="方正黑体简体"/>
          <w:b/>
          <w:sz w:val="32"/>
          <w:szCs w:val="32"/>
          <w:highlight w:val="none"/>
        </w:rPr>
        <w:t>六、其他需要报告的事项</w:t>
      </w:r>
    </w:p>
    <w:p w14:paraId="54208A90">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楷体简体"/>
          <w:b/>
          <w:color w:val="000000" w:themeColor="text1"/>
          <w:sz w:val="32"/>
          <w:szCs w:val="32"/>
          <w:highlight w:val="none"/>
          <w:lang w:eastAsia="zh-CN"/>
          <w14:textFill>
            <w14:solidFill>
              <w14:schemeClr w14:val="tx1"/>
            </w14:solidFill>
          </w14:textFill>
        </w:rPr>
      </w:pPr>
      <w:r>
        <w:rPr>
          <w:rFonts w:hint="eastAsia" w:ascii="Times New Roman" w:hAnsi="Times New Roman" w:eastAsia="方正楷体简体"/>
          <w:b/>
          <w:color w:val="000000" w:themeColor="text1"/>
          <w:sz w:val="32"/>
          <w:szCs w:val="32"/>
          <w:highlight w:val="none"/>
          <w14:textFill>
            <w14:solidFill>
              <w14:schemeClr w14:val="tx1"/>
            </w14:solidFill>
          </w14:textFill>
        </w:rPr>
        <w:t>（一）依据《政府信息公开信息处理费管理办法》收取信息处理费的情况</w:t>
      </w:r>
    </w:p>
    <w:p w14:paraId="318CF72E">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仿宋简体" w:cs="宋体"/>
          <w:b/>
          <w:bCs/>
          <w:sz w:val="32"/>
          <w:szCs w:val="32"/>
          <w:highlight w:val="none"/>
          <w:lang w:val="en-US" w:eastAsia="zh-CN"/>
        </w:rPr>
      </w:pPr>
      <w:r>
        <w:rPr>
          <w:rFonts w:hint="eastAsia" w:ascii="Times New Roman" w:hAnsi="Times New Roman" w:eastAsia="方正仿宋简体" w:cs="宋体"/>
          <w:b/>
          <w:bCs/>
          <w:sz w:val="32"/>
          <w:szCs w:val="32"/>
          <w:highlight w:val="none"/>
          <w:lang w:val="en-US" w:eastAsia="zh-CN"/>
        </w:rPr>
        <w:t>2024年曲阜市政府办公室未产生政府信息公开信息处理费。</w:t>
      </w:r>
    </w:p>
    <w:p w14:paraId="1F5FC573">
      <w:pPr>
        <w:keepNext w:val="0"/>
        <w:keepLines w:val="0"/>
        <w:pageBreakBefore w:val="0"/>
        <w:numPr>
          <w:ilvl w:val="0"/>
          <w:numId w:val="4"/>
        </w:numPr>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楷体简体"/>
          <w:b/>
          <w:color w:val="000000" w:themeColor="text1"/>
          <w:sz w:val="32"/>
          <w:szCs w:val="32"/>
          <w:highlight w:val="none"/>
          <w14:textFill>
            <w14:solidFill>
              <w14:schemeClr w14:val="tx1"/>
            </w14:solidFill>
          </w14:textFill>
        </w:rPr>
      </w:pPr>
      <w:r>
        <w:rPr>
          <w:rFonts w:hint="eastAsia" w:ascii="Times New Roman" w:hAnsi="Times New Roman" w:eastAsia="方正楷体简体"/>
          <w:b/>
          <w:color w:val="000000" w:themeColor="text1"/>
          <w:sz w:val="32"/>
          <w:szCs w:val="32"/>
          <w:highlight w:val="none"/>
          <w14:textFill>
            <w14:solidFill>
              <w14:schemeClr w14:val="tx1"/>
            </w14:solidFill>
          </w14:textFill>
        </w:rPr>
        <w:t>落实上级年度政务公开工作要点情况</w:t>
      </w:r>
    </w:p>
    <w:p w14:paraId="7AD5C5FC">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default" w:ascii="Times New Roman" w:hAnsi="Times New Roman" w:eastAsia="方正仿宋简体" w:cs="宋体"/>
          <w:b/>
          <w:bCs/>
          <w:sz w:val="32"/>
          <w:szCs w:val="32"/>
          <w:highlight w:val="none"/>
          <w:lang w:val="en-US" w:eastAsia="zh-CN"/>
        </w:rPr>
      </w:pPr>
      <w:r>
        <w:rPr>
          <w:rFonts w:hint="eastAsia" w:ascii="Times New Roman" w:hAnsi="Times New Roman" w:eastAsia="方正仿宋简体" w:cs="宋体"/>
          <w:b/>
          <w:bCs/>
          <w:sz w:val="32"/>
          <w:szCs w:val="32"/>
          <w:highlight w:val="none"/>
          <w:lang w:val="en-US" w:eastAsia="zh-CN"/>
        </w:rPr>
        <w:t>2024年度，曲阜市政府办公室认真落实《2024年山东省政务公开工作要点》《2024年济宁市政务公开重点工作任务分解表》要求。一是提升依申请公开办理质效，全面系统规范办理政府信息依申请公开的全流程，依法有据、严谨规范、慎重稳妥，确保信息公开办理标准化和规范化，依托上级统一的依申请公开平台，梳理导入本年度依申请公开数据。二是全面梳理法律、法规、规章中关于主动公开信息的规定，确定法定公开事项，编制完成本机关主动公开事项目录。三是集中政策文件统一发布，依托省、市级政府文件库建设，动态录入、更新本级政府和政府办公室名义印发的文件，坚持政策性文件及时、规范解读，政策文件公开后3个工作日内发布相应解读材料，实现政策文件和解读材料相互关联，保证解读及时性、易查性。</w:t>
      </w:r>
    </w:p>
    <w:p w14:paraId="0228B9C5">
      <w:pPr>
        <w:keepNext w:val="0"/>
        <w:keepLines w:val="0"/>
        <w:pageBreakBefore w:val="0"/>
        <w:numPr>
          <w:ilvl w:val="0"/>
          <w:numId w:val="4"/>
        </w:numPr>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楷体简体"/>
          <w:b/>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楷体简体"/>
          <w:b/>
          <w:color w:val="000000" w:themeColor="text1"/>
          <w:sz w:val="32"/>
          <w:szCs w:val="32"/>
          <w:highlight w:val="none"/>
          <w:lang w:val="en-US" w:eastAsia="zh-CN"/>
          <w14:textFill>
            <w14:solidFill>
              <w14:schemeClr w14:val="tx1"/>
            </w14:solidFill>
          </w14:textFill>
        </w:rPr>
        <w:t>本年度人大代表建议和政协提案办理结果公开情况情况</w:t>
      </w:r>
    </w:p>
    <w:p w14:paraId="1C30F5E9">
      <w:pPr>
        <w:keepNext w:val="0"/>
        <w:keepLines w:val="0"/>
        <w:pageBreakBefore w:val="0"/>
        <w:kinsoku/>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楷体简体"/>
          <w:b/>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宋体"/>
          <w:b/>
          <w:bCs/>
          <w:sz w:val="32"/>
          <w:szCs w:val="32"/>
          <w:highlight w:val="none"/>
          <w:lang w:val="en-US" w:eastAsia="zh-CN"/>
        </w:rPr>
        <w:t>本年度市政府办公室未收到人大代表建议和政协提案。</w:t>
      </w:r>
    </w:p>
    <w:p w14:paraId="31D313D5">
      <w:pPr>
        <w:keepNext w:val="0"/>
        <w:keepLines w:val="0"/>
        <w:pageBreakBefore w:val="0"/>
        <w:numPr>
          <w:ilvl w:val="0"/>
          <w:numId w:val="4"/>
        </w:numPr>
        <w:kinsoku/>
        <w:overflowPunct/>
        <w:topLinePunct w:val="0"/>
        <w:autoSpaceDE/>
        <w:autoSpaceDN/>
        <w:bidi w:val="0"/>
        <w:adjustRightInd/>
        <w:snapToGrid/>
        <w:spacing w:line="580" w:lineRule="exact"/>
        <w:ind w:left="0" w:leftChars="0" w:right="-96" w:rightChars="-50" w:firstLine="624" w:firstLineChars="200"/>
        <w:textAlignment w:val="auto"/>
        <w:rPr>
          <w:rFonts w:hint="default" w:ascii="Times New Roman" w:hAnsi="Times New Roman" w:eastAsia="方正仿宋简体" w:cs="宋体"/>
          <w:b/>
          <w:bCs/>
          <w:sz w:val="32"/>
          <w:szCs w:val="32"/>
          <w:highlight w:val="none"/>
          <w:lang w:val="en-US" w:eastAsia="zh-CN"/>
        </w:rPr>
      </w:pPr>
      <w:r>
        <w:rPr>
          <w:rFonts w:hint="eastAsia" w:ascii="Times New Roman" w:hAnsi="Times New Roman" w:eastAsia="方正楷体简体"/>
          <w:b/>
          <w:color w:val="000000" w:themeColor="text1"/>
          <w:sz w:val="32"/>
          <w:szCs w:val="32"/>
          <w:highlight w:val="none"/>
          <w:lang w:val="en-US" w:eastAsia="zh-CN"/>
          <w14:textFill>
            <w14:solidFill>
              <w14:schemeClr w14:val="tx1"/>
            </w14:solidFill>
          </w14:textFill>
        </w:rPr>
        <w:t>本年度政务公开工作创新情况</w:t>
      </w:r>
    </w:p>
    <w:p w14:paraId="049BF4C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24" w:firstLineChars="200"/>
        <w:jc w:val="both"/>
        <w:textAlignment w:val="auto"/>
        <w:rPr>
          <w:rFonts w:hint="eastAsia" w:ascii="Times New Roman" w:hAnsi="Times New Roman" w:eastAsia="方正仿宋简体" w:cs="方正仿宋简体"/>
          <w:b/>
          <w:bCs/>
          <w:sz w:val="32"/>
          <w:szCs w:val="32"/>
          <w:highlight w:val="none"/>
          <w:lang w:val="en-US" w:eastAsia="zh-CN"/>
        </w:rPr>
      </w:pPr>
      <w:r>
        <w:rPr>
          <w:rFonts w:hint="eastAsia" w:ascii="Times New Roman" w:hAnsi="Times New Roman" w:eastAsia="方正仿宋简体" w:cs="方正仿宋简体"/>
          <w:b/>
          <w:bCs/>
          <w:sz w:val="32"/>
          <w:szCs w:val="32"/>
          <w:highlight w:val="none"/>
          <w:lang w:val="en-US" w:eastAsia="zh-CN"/>
        </w:rPr>
        <w:t>一是依申请公开疑难事项会商机制。答复质量是依申请公开办理部门的“生命线”，为切实保障依申请公开件办理质量，本机关在处理情况复杂疑难申请时，探索建立政府信息依申请公开复杂疑难事项会商制度，发挥众家之长，牢牢守住答复质量这道“关口”，在一定程度上有效规避了后续行政争议，提高了政府信息依申请公开工作的规范性。</w:t>
      </w:r>
    </w:p>
    <w:p w14:paraId="30450C8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24" w:firstLineChars="200"/>
        <w:jc w:val="both"/>
        <w:textAlignment w:val="auto"/>
        <w:rPr>
          <w:rFonts w:hint="eastAsia" w:ascii="Times New Roman" w:hAnsi="Times New Roman" w:eastAsia="方正仿宋简体" w:cs="方正仿宋简体"/>
          <w:b/>
          <w:bCs/>
          <w:sz w:val="32"/>
          <w:szCs w:val="32"/>
          <w:highlight w:val="none"/>
          <w:lang w:val="en-US" w:eastAsia="zh-CN"/>
        </w:rPr>
      </w:pPr>
      <w:r>
        <w:rPr>
          <w:rFonts w:hint="eastAsia" w:ascii="Times New Roman" w:hAnsi="Times New Roman" w:eastAsia="方正仿宋简体" w:cs="方正仿宋简体"/>
          <w:b/>
          <w:bCs/>
          <w:sz w:val="32"/>
          <w:szCs w:val="32"/>
          <w:highlight w:val="none"/>
          <w:lang w:val="en-US" w:eastAsia="zh-CN"/>
        </w:rPr>
        <w:t>二是多部门联动“1+n”政策解读工作机制。政府办公室为中心，统一协同多个文件起草部门，联系协调市融媒体中心，文件起草部门相关负责人走进演播室，以媒体记者面对面访谈形式，围绕义务教育均衡发展、宅基地管理、行政执法等方面政策文件展开解读，提升政策解读的权威性和有效性 。</w:t>
      </w:r>
    </w:p>
    <w:p w14:paraId="5E96B88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24" w:firstLineChars="200"/>
        <w:jc w:val="both"/>
        <w:textAlignment w:val="auto"/>
        <w:rPr>
          <w:rFonts w:hint="default" w:ascii="Times New Roman" w:hAnsi="Times New Roman" w:eastAsia="方正仿宋简体" w:cs="方正仿宋简体"/>
          <w:b/>
          <w:bCs/>
          <w:sz w:val="32"/>
          <w:szCs w:val="32"/>
          <w:highlight w:val="none"/>
          <w:lang w:val="en-US" w:eastAsia="zh-CN"/>
        </w:rPr>
      </w:pPr>
      <w:r>
        <w:rPr>
          <w:rFonts w:hint="eastAsia" w:ascii="Times New Roman" w:hAnsi="Times New Roman" w:eastAsia="方正仿宋简体" w:cs="方正仿宋简体"/>
          <w:b/>
          <w:bCs/>
          <w:sz w:val="32"/>
          <w:szCs w:val="32"/>
          <w:highlight w:val="none"/>
          <w:lang w:val="en-US" w:eastAsia="zh-CN"/>
        </w:rPr>
        <w:t>三是公开平台建设突出。根据综合影响力表现，市政府门户网站“中国·曲阜”在2024年中国优秀政务平台（数字政府）推荐及综合影响力评估中获“领先政务网站”“优秀政务网站”奖项。</w:t>
      </w:r>
    </w:p>
    <w:bookmarkEnd w:id="10"/>
    <w:p w14:paraId="4FA6C88D">
      <w:pPr>
        <w:keepNext w:val="0"/>
        <w:keepLines w:val="0"/>
        <w:pageBreakBefore w:val="0"/>
        <w:numPr>
          <w:ilvl w:val="0"/>
          <w:numId w:val="4"/>
        </w:numPr>
        <w:kinsoku/>
        <w:overflowPunct/>
        <w:topLinePunct w:val="0"/>
        <w:autoSpaceDE/>
        <w:autoSpaceDN/>
        <w:bidi w:val="0"/>
        <w:adjustRightInd/>
        <w:snapToGrid/>
        <w:spacing w:line="580" w:lineRule="exact"/>
        <w:ind w:left="0" w:leftChars="0" w:right="-96" w:rightChars="-50" w:firstLine="624" w:firstLineChars="200"/>
        <w:textAlignment w:val="auto"/>
        <w:rPr>
          <w:rFonts w:hint="eastAsia" w:ascii="方正楷体简体" w:hAnsi="方正楷体简体" w:eastAsia="方正楷体简体" w:cs="方正楷体简体"/>
          <w:b/>
          <w:color w:val="000000" w:themeColor="text1"/>
          <w:sz w:val="32"/>
          <w:szCs w:val="32"/>
          <w:highlight w:val="none"/>
          <w:lang w:val="en-US" w:eastAsia="zh-CN"/>
          <w14:textFill>
            <w14:solidFill>
              <w14:schemeClr w14:val="tx1"/>
            </w14:solidFill>
          </w14:textFill>
        </w:rPr>
      </w:pPr>
      <w:r>
        <w:rPr>
          <w:rFonts w:hint="eastAsia" w:ascii="方正楷体简体" w:hAnsi="方正楷体简体" w:eastAsia="方正楷体简体" w:cs="方正楷体简体"/>
          <w:b/>
          <w:sz w:val="32"/>
          <w:szCs w:val="32"/>
        </w:rPr>
        <w:t>本年度信息公开工作年度报告数据统计需要说明的事项</w:t>
      </w:r>
    </w:p>
    <w:p w14:paraId="4451547C">
      <w:pPr>
        <w:pStyle w:val="4"/>
        <w:keepNext w:val="0"/>
        <w:keepLines w:val="0"/>
        <w:pageBreakBefore w:val="0"/>
        <w:kinsoku/>
        <w:wordWrap w:val="0"/>
        <w:overflowPunct/>
        <w:topLinePunct w:val="0"/>
        <w:autoSpaceDE/>
        <w:autoSpaceDN/>
        <w:bidi w:val="0"/>
        <w:adjustRightInd/>
        <w:snapToGrid/>
        <w:spacing w:line="580" w:lineRule="exact"/>
        <w:ind w:firstLine="624" w:firstLineChars="200"/>
        <w:textAlignment w:val="auto"/>
        <w:rPr>
          <w:rFonts w:hint="eastAsia" w:ascii="Times New Roman" w:hAnsi="Times New Roman" w:eastAsia="方正仿宋简体" w:cs="方正仿宋简体"/>
          <w:b/>
          <w:bCs/>
          <w:sz w:val="32"/>
          <w:szCs w:val="32"/>
          <w:highlight w:val="none"/>
          <w:lang w:val="en-US" w:eastAsia="zh-CN"/>
        </w:rPr>
      </w:pPr>
      <w:r>
        <w:rPr>
          <w:rFonts w:hint="eastAsia" w:ascii="Times New Roman" w:hAnsi="Times New Roman" w:eastAsia="方正仿宋简体" w:cs="方正仿宋简体"/>
          <w:b/>
          <w:bCs/>
          <w:sz w:val="32"/>
          <w:szCs w:val="32"/>
          <w:highlight w:val="none"/>
          <w:lang w:val="en-US" w:eastAsia="zh-CN"/>
        </w:rPr>
        <w:t>无</w:t>
      </w:r>
    </w:p>
    <w:p w14:paraId="42754D0C">
      <w:pPr>
        <w:keepNext w:val="0"/>
        <w:keepLines w:val="0"/>
        <w:pageBreakBefore w:val="0"/>
        <w:numPr>
          <w:ilvl w:val="0"/>
          <w:numId w:val="4"/>
        </w:numPr>
        <w:kinsoku/>
        <w:overflowPunct/>
        <w:topLinePunct w:val="0"/>
        <w:autoSpaceDE/>
        <w:autoSpaceDN/>
        <w:bidi w:val="0"/>
        <w:adjustRightInd/>
        <w:snapToGrid/>
        <w:spacing w:line="580" w:lineRule="exact"/>
        <w:ind w:left="0" w:leftChars="0" w:right="-96" w:rightChars="-50" w:firstLine="624" w:firstLineChars="200"/>
        <w:textAlignment w:val="auto"/>
        <w:rPr>
          <w:rFonts w:hint="eastAsia" w:ascii="Times New Roman" w:hAnsi="Times New Roman" w:eastAsia="方正楷体简体"/>
          <w:b/>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简体"/>
          <w:b/>
          <w:color w:val="000000" w:themeColor="text1"/>
          <w:sz w:val="32"/>
          <w:szCs w:val="32"/>
          <w:highlight w:val="none"/>
          <w:lang w:val="en-US" w:eastAsia="zh-CN"/>
          <w14:textFill>
            <w14:solidFill>
              <w14:schemeClr w14:val="tx1"/>
            </w14:solidFill>
          </w14:textFill>
        </w:rPr>
        <w:t>需要报告的其他事项</w:t>
      </w:r>
    </w:p>
    <w:p w14:paraId="2BA332BA">
      <w:pPr>
        <w:pStyle w:val="4"/>
        <w:keepNext w:val="0"/>
        <w:keepLines w:val="0"/>
        <w:pageBreakBefore w:val="0"/>
        <w:kinsoku/>
        <w:wordWrap w:val="0"/>
        <w:overflowPunct/>
        <w:topLinePunct w:val="0"/>
        <w:autoSpaceDE/>
        <w:autoSpaceDN/>
        <w:bidi w:val="0"/>
        <w:adjustRightInd/>
        <w:snapToGrid/>
        <w:spacing w:line="580" w:lineRule="exact"/>
        <w:ind w:firstLine="624" w:firstLineChars="200"/>
        <w:textAlignment w:val="auto"/>
        <w:rPr>
          <w:rFonts w:hint="default" w:ascii="Times New Roman" w:hAnsi="Times New Roman" w:eastAsia="方正仿宋简体" w:cs="方正仿宋简体"/>
          <w:b/>
          <w:bCs/>
          <w:sz w:val="32"/>
          <w:szCs w:val="32"/>
          <w:highlight w:val="none"/>
          <w:lang w:val="en-US" w:eastAsia="zh-CN"/>
        </w:rPr>
      </w:pPr>
      <w:r>
        <w:rPr>
          <w:rFonts w:hint="eastAsia" w:ascii="Times New Roman" w:hAnsi="Times New Roman" w:eastAsia="方正仿宋简体" w:cs="方正仿宋简体"/>
          <w:b/>
          <w:bCs/>
          <w:sz w:val="32"/>
          <w:szCs w:val="32"/>
          <w:highlight w:val="none"/>
          <w:lang w:val="en-US" w:eastAsia="zh-CN"/>
        </w:rPr>
        <w:t>无</w:t>
      </w:r>
    </w:p>
    <w:p w14:paraId="5A8031BE">
      <w:pPr>
        <w:keepNext w:val="0"/>
        <w:keepLines w:val="0"/>
        <w:pageBreakBefore w:val="0"/>
        <w:numPr>
          <w:ilvl w:val="0"/>
          <w:numId w:val="4"/>
        </w:numPr>
        <w:kinsoku/>
        <w:overflowPunct/>
        <w:topLinePunct w:val="0"/>
        <w:autoSpaceDE/>
        <w:autoSpaceDN/>
        <w:bidi w:val="0"/>
        <w:adjustRightInd/>
        <w:snapToGrid/>
        <w:spacing w:line="580" w:lineRule="exact"/>
        <w:ind w:left="0" w:leftChars="0" w:right="-96" w:rightChars="-50" w:firstLine="624" w:firstLineChars="200"/>
        <w:textAlignment w:val="auto"/>
        <w:rPr>
          <w:rFonts w:hint="eastAsia" w:ascii="Times New Roman" w:hAnsi="Times New Roman" w:eastAsia="方正楷体简体"/>
          <w:b/>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简体"/>
          <w:b/>
          <w:color w:val="000000" w:themeColor="text1"/>
          <w:sz w:val="32"/>
          <w:szCs w:val="32"/>
          <w:highlight w:val="none"/>
          <w:lang w:val="en-US" w:eastAsia="zh-CN"/>
          <w14:textFill>
            <w14:solidFill>
              <w14:schemeClr w14:val="tx1"/>
            </w14:solidFill>
          </w14:textFill>
        </w:rPr>
        <w:t>其他有关文件专门要求通过政府信息公开工作年度报告予以报告的事项</w:t>
      </w:r>
    </w:p>
    <w:p w14:paraId="6ACF7B4A">
      <w:pPr>
        <w:pStyle w:val="4"/>
        <w:keepNext w:val="0"/>
        <w:keepLines w:val="0"/>
        <w:pageBreakBefore w:val="0"/>
        <w:kinsoku/>
        <w:wordWrap w:val="0"/>
        <w:overflowPunct/>
        <w:topLinePunct w:val="0"/>
        <w:autoSpaceDE/>
        <w:autoSpaceDN/>
        <w:bidi w:val="0"/>
        <w:adjustRightInd/>
        <w:snapToGrid/>
        <w:spacing w:line="580" w:lineRule="exact"/>
        <w:ind w:firstLine="624" w:firstLineChars="200"/>
        <w:textAlignment w:val="auto"/>
        <w:rPr>
          <w:rFonts w:hint="default" w:ascii="Times New Roman" w:hAnsi="Times New Roman" w:eastAsia="方正仿宋简体" w:cs="方正仿宋简体"/>
          <w:b/>
          <w:bCs/>
          <w:sz w:val="32"/>
          <w:szCs w:val="32"/>
          <w:highlight w:val="none"/>
          <w:lang w:val="en-US" w:eastAsia="zh-CN"/>
        </w:rPr>
      </w:pPr>
      <w:r>
        <w:rPr>
          <w:rFonts w:hint="eastAsia" w:ascii="Times New Roman" w:hAnsi="Times New Roman" w:eastAsia="方正仿宋简体" w:cs="方正仿宋简体"/>
          <w:b/>
          <w:bCs/>
          <w:sz w:val="32"/>
          <w:szCs w:val="32"/>
          <w:highlight w:val="none"/>
          <w:lang w:val="en-US" w:eastAsia="zh-CN"/>
        </w:rPr>
        <w:t>无</w:t>
      </w:r>
    </w:p>
    <w:p w14:paraId="057BB08F">
      <w:pPr>
        <w:keepNext w:val="0"/>
        <w:keepLines w:val="0"/>
        <w:pageBreakBefore w:val="0"/>
        <w:kinsoku/>
        <w:overflowPunct/>
        <w:topLinePunct w:val="0"/>
        <w:autoSpaceDE/>
        <w:autoSpaceDN/>
        <w:bidi w:val="0"/>
        <w:adjustRightInd/>
        <w:snapToGrid/>
        <w:spacing w:line="580" w:lineRule="exact"/>
        <w:ind w:right="-96" w:rightChars="-50"/>
        <w:textAlignment w:val="auto"/>
        <w:rPr>
          <w:rFonts w:ascii="Times New Roman" w:hAnsi="Times New Roman"/>
          <w:highlight w:val="none"/>
        </w:rPr>
      </w:pPr>
    </w:p>
    <w:p w14:paraId="78FE2410">
      <w:pPr>
        <w:rPr>
          <w:rFonts w:ascii="Times New Roman" w:hAnsi="Times New Roman"/>
          <w:highlight w:val="none"/>
        </w:rPr>
      </w:pPr>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BA39B1-AD77-442D-9222-9CF1F1F3F6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42F5892-A4F4-4FF9-A2EA-9D5C186B4752}"/>
  </w:font>
  <w:font w:name="仿宋_GB2312">
    <w:panose1 w:val="02010609030101010101"/>
    <w:charset w:val="86"/>
    <w:family w:val="decorative"/>
    <w:pitch w:val="default"/>
    <w:sig w:usb0="00000001" w:usb1="080E0000" w:usb2="00000000" w:usb3="00000000" w:csb0="00040000" w:csb1="00000000"/>
    <w:embedRegular r:id="rId3" w:fontKey="{3814DF24-5547-45E7-9F26-7FDEAC529938}"/>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4" w:fontKey="{59E1AFA1-C067-495D-BC5F-397D121F861D}"/>
  </w:font>
  <w:font w:name="方正黑体简体">
    <w:panose1 w:val="03000509000000000000"/>
    <w:charset w:val="86"/>
    <w:family w:val="auto"/>
    <w:pitch w:val="default"/>
    <w:sig w:usb0="00000001" w:usb1="080E0000" w:usb2="00000000" w:usb3="00000000" w:csb0="00040000" w:csb1="00000000"/>
    <w:embedRegular r:id="rId5" w:fontKey="{51AFEAA8-2AF0-48D5-86F6-2E9821D3FF04}"/>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embedRegular r:id="rId6" w:fontKey="{89DA761A-DBFC-4EC9-8617-E8CBFA15FC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14:paraId="5D6B0ED0">
        <w:pPr>
          <w:pStyle w:val="3"/>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21 -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B5F119"/>
    <w:multiLevelType w:val="singleLevel"/>
    <w:tmpl w:val="ECB5F119"/>
    <w:lvl w:ilvl="0" w:tentative="0">
      <w:start w:val="2"/>
      <w:numFmt w:val="chineseCounting"/>
      <w:suff w:val="nothing"/>
      <w:lvlText w:val="%1、"/>
      <w:lvlJc w:val="left"/>
      <w:rPr>
        <w:rFonts w:hint="eastAsia"/>
      </w:rPr>
    </w:lvl>
  </w:abstractNum>
  <w:abstractNum w:abstractNumId="1">
    <w:nsid w:val="F182EA84"/>
    <w:multiLevelType w:val="singleLevel"/>
    <w:tmpl w:val="F182EA84"/>
    <w:lvl w:ilvl="0" w:tentative="0">
      <w:start w:val="2"/>
      <w:numFmt w:val="chineseCounting"/>
      <w:suff w:val="nothing"/>
      <w:lvlText w:val="（%1）"/>
      <w:lvlJc w:val="left"/>
      <w:rPr>
        <w:rFonts w:hint="eastAsia" w:ascii="方正楷体简体" w:hAnsi="方正楷体简体" w:eastAsia="方正楷体简体" w:cs="方正楷体简体"/>
      </w:rPr>
    </w:lvl>
  </w:abstractNum>
  <w:abstractNum w:abstractNumId="2">
    <w:nsid w:val="FFDE8B8D"/>
    <w:multiLevelType w:val="singleLevel"/>
    <w:tmpl w:val="FFDE8B8D"/>
    <w:lvl w:ilvl="0" w:tentative="0">
      <w:start w:val="3"/>
      <w:numFmt w:val="chineseCounting"/>
      <w:suff w:val="nothing"/>
      <w:lvlText w:val="（%1）"/>
      <w:lvlJc w:val="left"/>
      <w:rPr>
        <w:rFonts w:hint="eastAsia" w:ascii="方正楷体简体" w:hAnsi="方正楷体简体" w:eastAsia="方正楷体简体" w:cs="方正楷体简体"/>
      </w:rPr>
    </w:lvl>
  </w:abstractNum>
  <w:abstractNum w:abstractNumId="3">
    <w:nsid w:val="5927FB47"/>
    <w:multiLevelType w:val="singleLevel"/>
    <w:tmpl w:val="5927FB47"/>
    <w:lvl w:ilvl="0" w:tentative="0">
      <w:start w:val="2"/>
      <w:numFmt w:val="chineseCounting"/>
      <w:suff w:val="nothing"/>
      <w:lvlText w:val="（%1）"/>
      <w:lvlJc w:val="left"/>
      <w:pPr>
        <w:ind w:left="573"/>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90E9C"/>
    <w:rsid w:val="000C024B"/>
    <w:rsid w:val="004277C9"/>
    <w:rsid w:val="00726300"/>
    <w:rsid w:val="01341807"/>
    <w:rsid w:val="01A73D87"/>
    <w:rsid w:val="01C42B8B"/>
    <w:rsid w:val="01D628BE"/>
    <w:rsid w:val="02945F42"/>
    <w:rsid w:val="02A824AD"/>
    <w:rsid w:val="032064E7"/>
    <w:rsid w:val="035E700F"/>
    <w:rsid w:val="03EA43FF"/>
    <w:rsid w:val="04567CE7"/>
    <w:rsid w:val="04697A1A"/>
    <w:rsid w:val="049A4077"/>
    <w:rsid w:val="04A9250C"/>
    <w:rsid w:val="04C42EA2"/>
    <w:rsid w:val="053B7608"/>
    <w:rsid w:val="05453FE3"/>
    <w:rsid w:val="057A17B3"/>
    <w:rsid w:val="05832D5D"/>
    <w:rsid w:val="058A40EC"/>
    <w:rsid w:val="05B80C59"/>
    <w:rsid w:val="05D2339D"/>
    <w:rsid w:val="05EA2DDC"/>
    <w:rsid w:val="05F72E03"/>
    <w:rsid w:val="06055520"/>
    <w:rsid w:val="072E0AA7"/>
    <w:rsid w:val="07571DAC"/>
    <w:rsid w:val="08434503"/>
    <w:rsid w:val="095073FA"/>
    <w:rsid w:val="09C312FD"/>
    <w:rsid w:val="0A6F1B02"/>
    <w:rsid w:val="0A717628"/>
    <w:rsid w:val="0AC7549A"/>
    <w:rsid w:val="0B343278"/>
    <w:rsid w:val="0B666A61"/>
    <w:rsid w:val="0BD53BE7"/>
    <w:rsid w:val="0C0D3381"/>
    <w:rsid w:val="0C3E353A"/>
    <w:rsid w:val="0CF956B3"/>
    <w:rsid w:val="0D132C19"/>
    <w:rsid w:val="0DEE2D3E"/>
    <w:rsid w:val="0E0A401C"/>
    <w:rsid w:val="0E5F4D19"/>
    <w:rsid w:val="0E8042DE"/>
    <w:rsid w:val="0E9C279A"/>
    <w:rsid w:val="0EA16002"/>
    <w:rsid w:val="0EF80318"/>
    <w:rsid w:val="0F225395"/>
    <w:rsid w:val="0FB71F81"/>
    <w:rsid w:val="0FE10DAC"/>
    <w:rsid w:val="10141182"/>
    <w:rsid w:val="10284C2D"/>
    <w:rsid w:val="10463305"/>
    <w:rsid w:val="107B2FAF"/>
    <w:rsid w:val="109127D2"/>
    <w:rsid w:val="10A73DA4"/>
    <w:rsid w:val="11276C93"/>
    <w:rsid w:val="11621A79"/>
    <w:rsid w:val="121511E1"/>
    <w:rsid w:val="122E4051"/>
    <w:rsid w:val="125C471A"/>
    <w:rsid w:val="12BE53D5"/>
    <w:rsid w:val="12C16C73"/>
    <w:rsid w:val="12E12E71"/>
    <w:rsid w:val="138D067C"/>
    <w:rsid w:val="13EC7D20"/>
    <w:rsid w:val="14A16D5C"/>
    <w:rsid w:val="14DC1B42"/>
    <w:rsid w:val="14E07884"/>
    <w:rsid w:val="153C0833"/>
    <w:rsid w:val="15477903"/>
    <w:rsid w:val="15634727"/>
    <w:rsid w:val="15B11221"/>
    <w:rsid w:val="16077093"/>
    <w:rsid w:val="16FE3FF2"/>
    <w:rsid w:val="172123D6"/>
    <w:rsid w:val="172F064F"/>
    <w:rsid w:val="17A76437"/>
    <w:rsid w:val="18137F71"/>
    <w:rsid w:val="18BA4890"/>
    <w:rsid w:val="19EE2A43"/>
    <w:rsid w:val="1A18186E"/>
    <w:rsid w:val="1A271AB1"/>
    <w:rsid w:val="1A304E0A"/>
    <w:rsid w:val="1AD05CA5"/>
    <w:rsid w:val="1B1A7868"/>
    <w:rsid w:val="1B2E0C1E"/>
    <w:rsid w:val="1B3F107D"/>
    <w:rsid w:val="1BC90E9C"/>
    <w:rsid w:val="1C0F0A4F"/>
    <w:rsid w:val="1C4526C3"/>
    <w:rsid w:val="1C7A236C"/>
    <w:rsid w:val="1C7F3E27"/>
    <w:rsid w:val="1C8B27CB"/>
    <w:rsid w:val="1D7F1C04"/>
    <w:rsid w:val="1D807E56"/>
    <w:rsid w:val="1D8965DF"/>
    <w:rsid w:val="1DAC0C4B"/>
    <w:rsid w:val="1DB7139E"/>
    <w:rsid w:val="1DE859FC"/>
    <w:rsid w:val="1E1D38F7"/>
    <w:rsid w:val="1F1D16D5"/>
    <w:rsid w:val="1FBE4C66"/>
    <w:rsid w:val="1FBF278C"/>
    <w:rsid w:val="1FD75D28"/>
    <w:rsid w:val="200C59D1"/>
    <w:rsid w:val="21333432"/>
    <w:rsid w:val="22317971"/>
    <w:rsid w:val="22A46395"/>
    <w:rsid w:val="22D95913"/>
    <w:rsid w:val="24A3267C"/>
    <w:rsid w:val="25096983"/>
    <w:rsid w:val="254C4AC2"/>
    <w:rsid w:val="25BC39F6"/>
    <w:rsid w:val="25ED1E01"/>
    <w:rsid w:val="25FF7D86"/>
    <w:rsid w:val="260929B3"/>
    <w:rsid w:val="26B91CE3"/>
    <w:rsid w:val="275F0ADD"/>
    <w:rsid w:val="27E2170E"/>
    <w:rsid w:val="28497097"/>
    <w:rsid w:val="28AB1AFF"/>
    <w:rsid w:val="28D70B46"/>
    <w:rsid w:val="294206B6"/>
    <w:rsid w:val="294A30C6"/>
    <w:rsid w:val="299D3B3E"/>
    <w:rsid w:val="299E3412"/>
    <w:rsid w:val="29BF1D06"/>
    <w:rsid w:val="2A067935"/>
    <w:rsid w:val="2A0C65CE"/>
    <w:rsid w:val="2BC5737C"/>
    <w:rsid w:val="2BE710A1"/>
    <w:rsid w:val="2BEA293F"/>
    <w:rsid w:val="2C332538"/>
    <w:rsid w:val="2CB03B88"/>
    <w:rsid w:val="2D256324"/>
    <w:rsid w:val="2D40315E"/>
    <w:rsid w:val="2D9139BA"/>
    <w:rsid w:val="2DCA6ECC"/>
    <w:rsid w:val="2DD6761F"/>
    <w:rsid w:val="2DE24215"/>
    <w:rsid w:val="2E9D638E"/>
    <w:rsid w:val="2E9F5C62"/>
    <w:rsid w:val="2EDE49DD"/>
    <w:rsid w:val="2F35025B"/>
    <w:rsid w:val="2F5B602D"/>
    <w:rsid w:val="2F68699C"/>
    <w:rsid w:val="2F792957"/>
    <w:rsid w:val="2FAA48BF"/>
    <w:rsid w:val="2FE853E7"/>
    <w:rsid w:val="30142680"/>
    <w:rsid w:val="30D50061"/>
    <w:rsid w:val="310E70CF"/>
    <w:rsid w:val="31EB47CA"/>
    <w:rsid w:val="32452FC5"/>
    <w:rsid w:val="327A0EC0"/>
    <w:rsid w:val="327F2033"/>
    <w:rsid w:val="32BA750F"/>
    <w:rsid w:val="33727DEA"/>
    <w:rsid w:val="33CC574C"/>
    <w:rsid w:val="343D21A6"/>
    <w:rsid w:val="34515C51"/>
    <w:rsid w:val="347B0F20"/>
    <w:rsid w:val="34A2025B"/>
    <w:rsid w:val="355F439E"/>
    <w:rsid w:val="35973136"/>
    <w:rsid w:val="35E36D7D"/>
    <w:rsid w:val="36363350"/>
    <w:rsid w:val="365B6913"/>
    <w:rsid w:val="36932551"/>
    <w:rsid w:val="36C721FA"/>
    <w:rsid w:val="36F079A3"/>
    <w:rsid w:val="3744384B"/>
    <w:rsid w:val="37537F32"/>
    <w:rsid w:val="376712E7"/>
    <w:rsid w:val="376C68FE"/>
    <w:rsid w:val="37936580"/>
    <w:rsid w:val="37C8447C"/>
    <w:rsid w:val="37CD55EE"/>
    <w:rsid w:val="383323DC"/>
    <w:rsid w:val="38934A8A"/>
    <w:rsid w:val="38D155B2"/>
    <w:rsid w:val="38F65019"/>
    <w:rsid w:val="3A192D6D"/>
    <w:rsid w:val="3AB64A60"/>
    <w:rsid w:val="3AED5FA8"/>
    <w:rsid w:val="3B762441"/>
    <w:rsid w:val="3BE850ED"/>
    <w:rsid w:val="3BEE0229"/>
    <w:rsid w:val="3C2D0D52"/>
    <w:rsid w:val="3CD03AE0"/>
    <w:rsid w:val="3CFB2BFE"/>
    <w:rsid w:val="3D1C4922"/>
    <w:rsid w:val="3D4F2F4A"/>
    <w:rsid w:val="3D8C5F4C"/>
    <w:rsid w:val="3DF80EEB"/>
    <w:rsid w:val="3E133F77"/>
    <w:rsid w:val="3E9C5D1B"/>
    <w:rsid w:val="3EB07A18"/>
    <w:rsid w:val="3EEF3EF7"/>
    <w:rsid w:val="3F710F55"/>
    <w:rsid w:val="3FB62E0C"/>
    <w:rsid w:val="3FE07E89"/>
    <w:rsid w:val="3FF57DD8"/>
    <w:rsid w:val="40F57964"/>
    <w:rsid w:val="410D2F00"/>
    <w:rsid w:val="412D35A2"/>
    <w:rsid w:val="412F731A"/>
    <w:rsid w:val="416A0352"/>
    <w:rsid w:val="419B675D"/>
    <w:rsid w:val="41C77552"/>
    <w:rsid w:val="41DF2AEE"/>
    <w:rsid w:val="42890CAC"/>
    <w:rsid w:val="42AE24C0"/>
    <w:rsid w:val="430D368B"/>
    <w:rsid w:val="439E0787"/>
    <w:rsid w:val="43DD12AF"/>
    <w:rsid w:val="4483144E"/>
    <w:rsid w:val="44B042CE"/>
    <w:rsid w:val="44F92119"/>
    <w:rsid w:val="451900C5"/>
    <w:rsid w:val="4574179F"/>
    <w:rsid w:val="459C2AA4"/>
    <w:rsid w:val="45B55914"/>
    <w:rsid w:val="45BF0B8A"/>
    <w:rsid w:val="45D4223E"/>
    <w:rsid w:val="45E76415"/>
    <w:rsid w:val="465A6BE7"/>
    <w:rsid w:val="478163F5"/>
    <w:rsid w:val="47A53E92"/>
    <w:rsid w:val="480908C5"/>
    <w:rsid w:val="48205C0E"/>
    <w:rsid w:val="48BF71D5"/>
    <w:rsid w:val="48EF296C"/>
    <w:rsid w:val="49177011"/>
    <w:rsid w:val="494D658F"/>
    <w:rsid w:val="49A10689"/>
    <w:rsid w:val="49AB59AC"/>
    <w:rsid w:val="49E8275C"/>
    <w:rsid w:val="49ED7D72"/>
    <w:rsid w:val="4A677B24"/>
    <w:rsid w:val="4A6A4F1F"/>
    <w:rsid w:val="4A835FE1"/>
    <w:rsid w:val="4ABA40F8"/>
    <w:rsid w:val="4AE64EED"/>
    <w:rsid w:val="4B052E99"/>
    <w:rsid w:val="4B8D35BB"/>
    <w:rsid w:val="4C787DC7"/>
    <w:rsid w:val="4CAF7561"/>
    <w:rsid w:val="4CE76CFB"/>
    <w:rsid w:val="4D3161C8"/>
    <w:rsid w:val="4D662315"/>
    <w:rsid w:val="4E604FB7"/>
    <w:rsid w:val="4E65437B"/>
    <w:rsid w:val="4E766588"/>
    <w:rsid w:val="4EC5306C"/>
    <w:rsid w:val="4EDB463D"/>
    <w:rsid w:val="4F8B6063"/>
    <w:rsid w:val="4FA24D2D"/>
    <w:rsid w:val="4FD317B8"/>
    <w:rsid w:val="504F0E3F"/>
    <w:rsid w:val="50744D49"/>
    <w:rsid w:val="50854860"/>
    <w:rsid w:val="508A1E77"/>
    <w:rsid w:val="51B66C9C"/>
    <w:rsid w:val="51BA678C"/>
    <w:rsid w:val="52B61649"/>
    <w:rsid w:val="52C553E8"/>
    <w:rsid w:val="53BD6A07"/>
    <w:rsid w:val="53D0673A"/>
    <w:rsid w:val="53F87A3F"/>
    <w:rsid w:val="546A70A7"/>
    <w:rsid w:val="54F226E1"/>
    <w:rsid w:val="55172147"/>
    <w:rsid w:val="552F56E3"/>
    <w:rsid w:val="55733432"/>
    <w:rsid w:val="55AC0AE1"/>
    <w:rsid w:val="55BF0815"/>
    <w:rsid w:val="55D52260"/>
    <w:rsid w:val="55FC3817"/>
    <w:rsid w:val="561C5C67"/>
    <w:rsid w:val="561F7505"/>
    <w:rsid w:val="569A3030"/>
    <w:rsid w:val="56E524FD"/>
    <w:rsid w:val="572F19CA"/>
    <w:rsid w:val="578C4726"/>
    <w:rsid w:val="57A203EE"/>
    <w:rsid w:val="57AE6D93"/>
    <w:rsid w:val="58BC54DF"/>
    <w:rsid w:val="5979517E"/>
    <w:rsid w:val="59CE54CA"/>
    <w:rsid w:val="5A073E2B"/>
    <w:rsid w:val="5A8042EB"/>
    <w:rsid w:val="5B231846"/>
    <w:rsid w:val="5B353327"/>
    <w:rsid w:val="5B4F43E9"/>
    <w:rsid w:val="5B8A3673"/>
    <w:rsid w:val="5CB07109"/>
    <w:rsid w:val="5CDD3C76"/>
    <w:rsid w:val="5D68123E"/>
    <w:rsid w:val="5E93283E"/>
    <w:rsid w:val="5F381638"/>
    <w:rsid w:val="5F474ACE"/>
    <w:rsid w:val="5F4D6E91"/>
    <w:rsid w:val="5F6366B5"/>
    <w:rsid w:val="5FF46272"/>
    <w:rsid w:val="6104584B"/>
    <w:rsid w:val="61700C15"/>
    <w:rsid w:val="6236316D"/>
    <w:rsid w:val="62456545"/>
    <w:rsid w:val="627B3D15"/>
    <w:rsid w:val="62A96AD4"/>
    <w:rsid w:val="62E278F0"/>
    <w:rsid w:val="633B5253"/>
    <w:rsid w:val="64085A7D"/>
    <w:rsid w:val="642D54E3"/>
    <w:rsid w:val="644C3BBB"/>
    <w:rsid w:val="64AA08E2"/>
    <w:rsid w:val="65384140"/>
    <w:rsid w:val="65652A5B"/>
    <w:rsid w:val="65AB4911"/>
    <w:rsid w:val="6626043C"/>
    <w:rsid w:val="66417024"/>
    <w:rsid w:val="66882EA5"/>
    <w:rsid w:val="66CC0FE3"/>
    <w:rsid w:val="66CD4D5B"/>
    <w:rsid w:val="670C13E0"/>
    <w:rsid w:val="673152EA"/>
    <w:rsid w:val="67550FD9"/>
    <w:rsid w:val="677D0530"/>
    <w:rsid w:val="678371C8"/>
    <w:rsid w:val="68555008"/>
    <w:rsid w:val="686F60CA"/>
    <w:rsid w:val="68B65AA7"/>
    <w:rsid w:val="68BC5088"/>
    <w:rsid w:val="68C36416"/>
    <w:rsid w:val="69112CDD"/>
    <w:rsid w:val="695D4175"/>
    <w:rsid w:val="6985191D"/>
    <w:rsid w:val="699B2EEF"/>
    <w:rsid w:val="69A04061"/>
    <w:rsid w:val="6A294057"/>
    <w:rsid w:val="6A5C7899"/>
    <w:rsid w:val="6ADE5CEB"/>
    <w:rsid w:val="6B2C02A3"/>
    <w:rsid w:val="6B930322"/>
    <w:rsid w:val="6BCC7390"/>
    <w:rsid w:val="6C5A0E3F"/>
    <w:rsid w:val="6D0A4613"/>
    <w:rsid w:val="6D25144D"/>
    <w:rsid w:val="6D4F5D8F"/>
    <w:rsid w:val="6E4C47B8"/>
    <w:rsid w:val="6E7D7067"/>
    <w:rsid w:val="6EC627BC"/>
    <w:rsid w:val="6EC86534"/>
    <w:rsid w:val="6FCA62DC"/>
    <w:rsid w:val="6FEA072C"/>
    <w:rsid w:val="6FF375E1"/>
    <w:rsid w:val="710E21F8"/>
    <w:rsid w:val="71F47640"/>
    <w:rsid w:val="72330169"/>
    <w:rsid w:val="72367C59"/>
    <w:rsid w:val="727644F9"/>
    <w:rsid w:val="728A58AF"/>
    <w:rsid w:val="729A01E8"/>
    <w:rsid w:val="72F571CC"/>
    <w:rsid w:val="741B0EB4"/>
    <w:rsid w:val="747131CA"/>
    <w:rsid w:val="749F7D37"/>
    <w:rsid w:val="74BD640F"/>
    <w:rsid w:val="74E92D60"/>
    <w:rsid w:val="753D4E5A"/>
    <w:rsid w:val="75A4312B"/>
    <w:rsid w:val="76564426"/>
    <w:rsid w:val="76BF646F"/>
    <w:rsid w:val="76D37824"/>
    <w:rsid w:val="76DD68F5"/>
    <w:rsid w:val="76F8372F"/>
    <w:rsid w:val="774E15A1"/>
    <w:rsid w:val="780B1240"/>
    <w:rsid w:val="780D320A"/>
    <w:rsid w:val="782347DB"/>
    <w:rsid w:val="78B10039"/>
    <w:rsid w:val="793D18CD"/>
    <w:rsid w:val="79570BE0"/>
    <w:rsid w:val="798E2128"/>
    <w:rsid w:val="79B06543"/>
    <w:rsid w:val="79FA5A10"/>
    <w:rsid w:val="7A356A48"/>
    <w:rsid w:val="7A4822D7"/>
    <w:rsid w:val="7A5731A8"/>
    <w:rsid w:val="7A992B33"/>
    <w:rsid w:val="7B1864B3"/>
    <w:rsid w:val="7B6770D5"/>
    <w:rsid w:val="7B801824"/>
    <w:rsid w:val="7BEB1AB4"/>
    <w:rsid w:val="7C611EAD"/>
    <w:rsid w:val="7C8617DD"/>
    <w:rsid w:val="7C86358B"/>
    <w:rsid w:val="7C907F65"/>
    <w:rsid w:val="7C9C2DAE"/>
    <w:rsid w:val="7CD95DB0"/>
    <w:rsid w:val="7CEF2EDE"/>
    <w:rsid w:val="7CFE5817"/>
    <w:rsid w:val="7D0E5A5A"/>
    <w:rsid w:val="7EB10D93"/>
    <w:rsid w:val="7F14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3">
    <w:name w:val="footer"/>
    <w:basedOn w:val="1"/>
    <w:qFormat/>
    <w:uiPriority w:val="99"/>
    <w:pPr>
      <w:tabs>
        <w:tab w:val="center" w:pos="4153"/>
        <w:tab w:val="right" w:pos="8306"/>
      </w:tabs>
      <w:snapToGrid w:val="0"/>
      <w:jc w:val="left"/>
    </w:pPr>
    <w:rPr>
      <w:sz w:val="18"/>
    </w:rPr>
  </w:style>
  <w:style w:type="paragraph" w:styleId="4">
    <w:name w:val="Body Text First Indent"/>
    <w:basedOn w:val="2"/>
    <w:qFormat/>
    <w:uiPriority w:val="99"/>
    <w:pPr>
      <w:ind w:firstLine="420" w:firstLineChars="100"/>
    </w:pPr>
  </w:style>
  <w:style w:type="character" w:styleId="7">
    <w:name w:val="Strong"/>
    <w:basedOn w:val="6"/>
    <w:qFormat/>
    <w:uiPriority w:val="0"/>
    <w:rPr>
      <w:b/>
    </w:rPr>
  </w:style>
  <w:style w:type="paragraph" w:customStyle="1" w:styleId="8">
    <w:name w:val="正文首行缩进 21"/>
    <w:basedOn w:val="1"/>
    <w:autoRedefine/>
    <w:qFormat/>
    <w:uiPriority w:val="0"/>
    <w:pPr>
      <w:ind w:left="200" w:leftChars="200" w:firstLine="200" w:firstLineChars="200"/>
    </w:pPr>
    <w:rPr>
      <w:rFonts w:eastAsia="仿宋_GB2312"/>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3363</Words>
  <Characters>3473</Characters>
  <Lines>0</Lines>
  <Paragraphs>0</Paragraphs>
  <TotalTime>0</TotalTime>
  <ScaleCrop>false</ScaleCrop>
  <LinksUpToDate>false</LinksUpToDate>
  <CharactersWithSpaces>3476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2025-01-21T07:55:00Z</dcterms:created>
  <dc:creator>Jade</dc:creator>
  <cp:lastModifiedBy>Jade</cp:lastModifiedBy>
  <dcterms:modified xsi:type="dcterms:W3CDTF">2025-01-23T03:47:13Z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121BD1E86D92419885D63F346E03C8F8_11</vt:lpwstr>
  </property>
  <property fmtid="{D5CDD505-2E9C-101B-9397-08002B2CF9AE}" pid="4" name="KSOTemplateDocerSaveRecord">
    <vt:lpwstr>eyJoZGlkIjoiNWU2NzIyYzg3MTYzZTFlY2VkNzY3YWNlMDIwMDVkNjgiLCJ1c2VySWQiOiIyNTIzNjc5NjEifQ==</vt:lpwstr>
  </property>
</Properties>
</file>