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outlineLvl w:val="0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曲阜市文物局</w:t>
      </w:r>
    </w:p>
    <w:p>
      <w:pPr>
        <w:spacing w:line="590" w:lineRule="exact"/>
        <w:ind w:right="-100" w:rightChars="-50"/>
        <w:jc w:val="center"/>
        <w:outlineLvl w:val="0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0" w:firstLineChars="200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本报告由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曲阜市文物局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0" w:firstLineChars="200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0" w:firstLineChars="200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本报告所列数据的统计期限自202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年1月1日起至202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年12月31日止。本报告电子版可在“中国·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曲阜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”政府门户网站（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www.qufu.gov.cn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）查阅或下载。如对本报告有疑问，请与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曲阜市文物局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联系（地址：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曲阜市鼓楼北街18号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，联系电话：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0537-3709558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）。</w:t>
      </w:r>
    </w:p>
    <w:p>
      <w:pPr>
        <w:spacing w:line="590" w:lineRule="exact"/>
        <w:ind w:right="-100" w:rightChars="-50"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年，曲阜市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文物</w:t>
      </w:r>
      <w:r>
        <w:rPr>
          <w:rFonts w:hint="eastAsia" w:ascii="仿宋_GB2312" w:eastAsia="仿宋_GB2312" w:cs="仿宋_GB2312"/>
          <w:sz w:val="32"/>
          <w:szCs w:val="32"/>
        </w:rPr>
        <w:t>局在市委市政府工作指导下，认真贯彻落实党中央、国务院关于政务公开工作的文件要求，进一步规范政府信息公开专栏，推动政务公开标准化、规范化建设，努力做好政务公开各项工作。</w:t>
      </w:r>
    </w:p>
    <w:p>
      <w:pPr>
        <w:spacing w:line="590" w:lineRule="exact"/>
        <w:ind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2023年度我局通过政府网站公开15条，包括：政策解读2条，公示信息2条，规划计划1条，财政信息2条，公共文化活动2条，建议提案办理5条，部门主动公开基本目录1条。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88900</wp:posOffset>
            </wp:positionV>
            <wp:extent cx="4572000" cy="2743200"/>
            <wp:effectExtent l="4445" t="4445" r="14605" b="14605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通过曲阜市门户网站政府信息公开栏目主动公开信息15条，占比100%。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151130</wp:posOffset>
            </wp:positionV>
            <wp:extent cx="4591050" cy="2762250"/>
            <wp:effectExtent l="0" t="0" r="0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</w:pP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2023年度，本局未收到政府信息公开申请，无任何费用收取。</w:t>
      </w:r>
    </w:p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曲阜市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文物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局高度重视政府信息管理工作，根据人事变动情况及时调整政务公开领导小组，明确了政务公开分管领导，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具体负责推进、指导、协调、监督政务公开工作，严格遵守信息公开“先审查、后公开”原则，保障了公开信息不涉密、涉密信息不公开。</w:t>
      </w: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2023年以来，市文物局持续推进政府信息公开平台建设，将曲阜政府门户网站作为信息公开第一平台进行建设维护，发布市文物局公开信息，包括履职依据、规划计划、会议公开、公共文化服务、主动公开目录、组织管理、政策解读等栏目，同时与其他新闻媒体合作，拓展我局政府信息公开的广度。</w:t>
      </w:r>
    </w:p>
    <w:p>
      <w:pPr>
        <w:spacing w:line="590" w:lineRule="exact"/>
        <w:ind w:right="-100" w:rightChars="-50"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0" w:firstLineChars="200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成立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政府信息公开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工作领导小组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，由文物局办公室信息中心工作人员牵头，对各科室、部门进行政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府信息公开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指导，信息收集、整理等工作，并进行全面的保密检查，定期对全局各科室工作人员进行保密培训，切实提高工作人员保密意识。</w:t>
      </w:r>
    </w:p>
    <w:p>
      <w:pPr>
        <w:spacing w:line="590" w:lineRule="exact"/>
        <w:ind w:right="-100" w:rightChars="-50" w:firstLine="640" w:firstLineChars="200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二、主动公开政府信息情况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2173"/>
        <w:gridCol w:w="2258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9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21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本年制发件数</w:t>
            </w:r>
          </w:p>
        </w:tc>
        <w:tc>
          <w:tcPr>
            <w:tcW w:w="22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本年废止件数</w:t>
            </w:r>
          </w:p>
        </w:tc>
        <w:tc>
          <w:tcPr>
            <w:tcW w:w="20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规章</w:t>
            </w:r>
          </w:p>
        </w:tc>
        <w:tc>
          <w:tcPr>
            <w:tcW w:w="21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0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0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9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行政许可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9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行政处罚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行政强制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9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4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0" w:firstLineChars="200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ind w:firstLine="211" w:firstLineChars="100"/>
              <w:jc w:val="left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ind w:firstLine="211" w:firstLineChars="100"/>
              <w:jc w:val="both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ind w:firstLine="211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ind w:firstLine="211" w:firstLineChars="100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982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10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3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1" w:leftChars="-21" w:right="-126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78" w:leftChars="-39" w:right="-92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4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0" w:leftChars="-50" w:right="-120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41" w:right="-84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4" w:leftChars="-47" w:right="-74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4" w:leftChars="-33" w:right="-100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320" w:firstLineChars="100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市文物局政府信息公开工作取得了一些成绩，但是与上级部门要求相比，仍然存在差距和不足。一是公开内容的全面性不足、服务的针对性不够强，公开实效有待进一步提升；二是政策解读和回应关切的形式不够灵活多样。下一步，我们将继续按照市政府关于推进政务公开工作的部署要求，对标找差，取长补短，完善公开内容，系统梳理重点领域信息公开内容，细化公开事项、优化公开方式，让公民、法人和其他组织更好掌握我市文物工作信息，推动市文物局政府信息公开工作迈上新的台阶。</w:t>
      </w:r>
    </w:p>
    <w:p>
      <w:pPr>
        <w:spacing w:line="590" w:lineRule="exact"/>
        <w:ind w:right="-100" w:rightChars="-50" w:firstLine="320" w:firstLineChars="100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（一）依据《政府信息公开信息处理费管理办法》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，未收取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信息处理费;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（二）本行政机关年度政务公开工作创新情况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无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落实上级年度政务公开工作要点情况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2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本年度，市文物局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紧紧围绕社会公众关心关注问题和服务对象所思所盼，持续优化工作流程、强化公开机制，以公开促进服务水平提升。一是优化工作流程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打造“首问负责”“当日即办”贴心服务模式，对于政务热线、电话咨询等，第一时间办理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是深化决策公开机制。对于涉及面广、社会关注度高、专业性强重要事项，广泛征求意见，邀请专家学者进行座谈论证，提升社会各界对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文物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工作的知情权、参与权和监督权，以公开出思路、促落实。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四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人大代表建议和政协提案办理结果公开情况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20" w:firstLineChars="20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2023年，市文物局共收到人大建议1件，政协提案3件，均已在规定期限内作出答复，且获得人大代表、政协委员满意。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420" w:lineRule="atLeast"/>
        <w:ind w:left="420" w:leftChars="0" w:right="0" w:rightChars="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（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五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本行政机关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无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认为需要报告的其他事项；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六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无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其他有关文件专门要求予以报告的事项。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sectPr>
      <w:pgSz w:w="11906" w:h="16838"/>
      <w:pgMar w:top="215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jRmMTU2OTE0OTNjMjRjNTgyZTc4ODBjZTY2YWMifQ=="/>
    <w:docVar w:name="KSO_WPS_MARK_KEY" w:val="45b3a941-cc9b-444d-889f-74e28bf9185f"/>
  </w:docVars>
  <w:rsids>
    <w:rsidRoot w:val="69047391"/>
    <w:rsid w:val="06EC63AF"/>
    <w:rsid w:val="0E564376"/>
    <w:rsid w:val="110801C9"/>
    <w:rsid w:val="126A23DA"/>
    <w:rsid w:val="296C3A7F"/>
    <w:rsid w:val="32580B13"/>
    <w:rsid w:val="34487319"/>
    <w:rsid w:val="3A83468A"/>
    <w:rsid w:val="3B637611"/>
    <w:rsid w:val="3E4E3523"/>
    <w:rsid w:val="4F11005F"/>
    <w:rsid w:val="53D950BA"/>
    <w:rsid w:val="543111A7"/>
    <w:rsid w:val="54B921A1"/>
    <w:rsid w:val="5B090CED"/>
    <w:rsid w:val="65217D74"/>
    <w:rsid w:val="69047391"/>
    <w:rsid w:val="6A1A5678"/>
    <w:rsid w:val="6D65184A"/>
    <w:rsid w:val="71904F1F"/>
    <w:rsid w:val="74AE3FD8"/>
    <w:rsid w:val="796B4976"/>
    <w:rsid w:val="7B6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[工作簿1]Sheet1!$D$11:$D$17</c:f>
              <c:strCache>
                <c:ptCount val="7"/>
                <c:pt idx="0">
                  <c:v>政策解读</c:v>
                </c:pt>
                <c:pt idx="1">
                  <c:v>公示信息</c:v>
                </c:pt>
                <c:pt idx="2">
                  <c:v>规划计划</c:v>
                </c:pt>
                <c:pt idx="3">
                  <c:v>财政信息</c:v>
                </c:pt>
                <c:pt idx="4">
                  <c:v>公共文化活动</c:v>
                </c:pt>
                <c:pt idx="5">
                  <c:v>建议提案办理</c:v>
                </c:pt>
                <c:pt idx="6">
                  <c:v>部门主动公开基本目录</c:v>
                </c:pt>
              </c:strCache>
            </c:strRef>
          </c:cat>
          <c:val>
            <c:numRef>
              <c:f>[工作簿1]Sheet1!$E$11:$E$17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9375810"/>
        <c:axId val="63377967"/>
      </c:barChart>
      <c:catAx>
        <c:axId val="69937581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377967"/>
        <c:crosses val="autoZero"/>
        <c:auto val="1"/>
        <c:lblAlgn val="ctr"/>
        <c:lblOffset val="100"/>
        <c:noMultiLvlLbl val="0"/>
      </c:catAx>
      <c:valAx>
        <c:axId val="633779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7581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2354</Words>
  <Characters>2434</Characters>
  <Lines>0</Lines>
  <Paragraphs>0</Paragraphs>
  <TotalTime>46</TotalTime>
  <ScaleCrop>false</ScaleCrop>
  <LinksUpToDate>false</LinksUpToDate>
  <CharactersWithSpaces>2613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2023-01-19T01:54:00Z</dcterms:created>
  <dc:creator>Administrator</dc:creator>
  <cp:lastModifiedBy>Jade</cp:lastModifiedBy>
  <dcterms:modified xsi:type="dcterms:W3CDTF">2024-02-23T05:49:29Z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DDA81549B68E4CCA94701D0582C2D65C_13</vt:lpwstr>
  </property>
</Properties>
</file>